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FD8D" w14:textId="44E245D7" w:rsidR="00345F56" w:rsidRDefault="00EB1B5B" w:rsidP="007E1865">
      <w:pPr>
        <w:jc w:val="both"/>
      </w:pPr>
      <w:r>
        <w:rPr>
          <w:b/>
          <w:bCs/>
        </w:rPr>
        <w:t xml:space="preserve">Formal Objection to Planning Application 25/41179/OUT – </w:t>
      </w:r>
      <w:r>
        <w:t>Outline Application of up to 360 Residential Dwellings, Land to the North of Milford Road , Walton on the Hill, Stafford.</w:t>
      </w:r>
    </w:p>
    <w:p w14:paraId="493F682B" w14:textId="77777777" w:rsidR="00EB1B5B" w:rsidRDefault="00EB1B5B" w:rsidP="007E1865">
      <w:pPr>
        <w:jc w:val="both"/>
      </w:pPr>
    </w:p>
    <w:p w14:paraId="3715DB96" w14:textId="099C00FD" w:rsidR="00EB1B5B" w:rsidRDefault="00EB1B5B" w:rsidP="007E1865">
      <w:pPr>
        <w:jc w:val="both"/>
        <w:rPr>
          <w:b/>
          <w:bCs/>
        </w:rPr>
      </w:pPr>
      <w:r>
        <w:rPr>
          <w:b/>
          <w:bCs/>
        </w:rPr>
        <w:t xml:space="preserve">Introduction </w:t>
      </w:r>
    </w:p>
    <w:p w14:paraId="384B6500" w14:textId="77777777" w:rsidR="00EB1B5B" w:rsidRDefault="00EB1B5B" w:rsidP="007E1865">
      <w:pPr>
        <w:jc w:val="both"/>
        <w:rPr>
          <w:b/>
          <w:bCs/>
        </w:rPr>
      </w:pPr>
    </w:p>
    <w:p w14:paraId="086B9AE3" w14:textId="26CCE3F2" w:rsidR="00EB1B5B" w:rsidRDefault="00EB1B5B" w:rsidP="007E1865">
      <w:pPr>
        <w:jc w:val="both"/>
      </w:pPr>
      <w:r>
        <w:t>This objection is submitted on behalf of CPRE in respect of the above outline planning application. The proposed development would deliver up to 360 residential dwellings on unallocated agricultural land the elevated fringe of Stafford, immediately adjacent to the Cannock Chase National Landscape, one of England’s most valued and protected landscapes.</w:t>
      </w:r>
    </w:p>
    <w:p w14:paraId="5B016199" w14:textId="77777777" w:rsidR="00EB1B5B" w:rsidRDefault="00EB1B5B" w:rsidP="007E1865">
      <w:pPr>
        <w:jc w:val="both"/>
      </w:pPr>
    </w:p>
    <w:p w14:paraId="20B9D97E" w14:textId="7C91DD44" w:rsidR="00EB1B5B" w:rsidRDefault="00EB1B5B" w:rsidP="007E1865">
      <w:pPr>
        <w:jc w:val="both"/>
      </w:pPr>
      <w:r>
        <w:t xml:space="preserve">We respectfully submit that the application fails to satisfy the requirements of the National Planning Policy Framework (NPPF), conflicts with adopted policies in the Plan for Stafford Borough, and would generate a series of unacceptable and unmitigated harms to the local landscape, highway network, community infrastructure, ecology, and residential amenity. The applicant has not demonstrated that the public benefits of the proposal would outweigh those harms, as required by the NPPF’s presumption in favour of sustainable development. </w:t>
      </w:r>
    </w:p>
    <w:p w14:paraId="4432390D" w14:textId="77777777" w:rsidR="00EB1B5B" w:rsidRDefault="00EB1B5B" w:rsidP="007E1865">
      <w:pPr>
        <w:jc w:val="both"/>
      </w:pPr>
    </w:p>
    <w:p w14:paraId="4690CE08" w14:textId="42F6B713" w:rsidR="00EB1B5B" w:rsidRDefault="00EB1B5B" w:rsidP="007E1865">
      <w:pPr>
        <w:jc w:val="both"/>
        <w:rPr>
          <w:b/>
          <w:bCs/>
        </w:rPr>
      </w:pPr>
      <w:r>
        <w:rPr>
          <w:b/>
          <w:bCs/>
        </w:rPr>
        <w:t xml:space="preserve">Grounds </w:t>
      </w:r>
      <w:r w:rsidR="000F71E8">
        <w:rPr>
          <w:b/>
          <w:bCs/>
        </w:rPr>
        <w:t xml:space="preserve">for Objection </w:t>
      </w:r>
    </w:p>
    <w:p w14:paraId="0650413E" w14:textId="77777777" w:rsidR="000F71E8" w:rsidRDefault="000F71E8" w:rsidP="007E1865">
      <w:pPr>
        <w:jc w:val="both"/>
        <w:rPr>
          <w:b/>
          <w:bCs/>
        </w:rPr>
      </w:pPr>
    </w:p>
    <w:p w14:paraId="69708429" w14:textId="0A05918A" w:rsidR="000F71E8" w:rsidRDefault="000F71E8" w:rsidP="007E1865">
      <w:pPr>
        <w:pStyle w:val="ListParagraph"/>
        <w:numPr>
          <w:ilvl w:val="0"/>
          <w:numId w:val="1"/>
        </w:numPr>
        <w:jc w:val="both"/>
        <w:rPr>
          <w:b/>
          <w:bCs/>
        </w:rPr>
      </w:pPr>
      <w:r>
        <w:rPr>
          <w:b/>
          <w:bCs/>
        </w:rPr>
        <w:t xml:space="preserve">The development is Not Policy Compliant </w:t>
      </w:r>
    </w:p>
    <w:p w14:paraId="43F1B655" w14:textId="77777777" w:rsidR="009806B1" w:rsidRDefault="000F71E8" w:rsidP="007E1865">
      <w:pPr>
        <w:pStyle w:val="ListParagraph"/>
        <w:jc w:val="both"/>
        <w:rPr>
          <w:rFonts w:ascii="Arial" w:eastAsia="Arial" w:hAnsi="Arial" w:cs="Arial"/>
          <w:sz w:val="22"/>
          <w:szCs w:val="22"/>
        </w:rPr>
      </w:pPr>
      <w:r>
        <w:t xml:space="preserve">The sites outside the approved Rural Development boundary (RDB) for Stafford and carries no allocation in the adopted Plan for Stafford Borough. </w:t>
      </w:r>
      <w:r>
        <w:rPr>
          <w:rFonts w:ascii="Arial" w:eastAsia="Arial" w:hAnsi="Arial" w:cs="Arial"/>
          <w:sz w:val="22"/>
          <w:szCs w:val="22"/>
        </w:rPr>
        <w:t>While the November 2024 Strategic Housing and Economic Land Availability Assessment (SHELAA) update includes the site as a suggested candidate for residential development, this document has not been formally adopted by Stafford Borough Council and carries no material weight as a development plan document.</w:t>
      </w:r>
      <w:r>
        <w:rPr>
          <w:rFonts w:ascii="Arial" w:eastAsia="Arial" w:hAnsi="Arial" w:cs="Arial"/>
          <w:sz w:val="22"/>
          <w:szCs w:val="22"/>
        </w:rPr>
        <w:t xml:space="preserve"> The proposal therefore conflicts with the development plan as a whole.</w:t>
      </w:r>
    </w:p>
    <w:p w14:paraId="539922A3" w14:textId="77777777" w:rsidR="009806B1" w:rsidRDefault="009806B1" w:rsidP="007E1865">
      <w:pPr>
        <w:pStyle w:val="ListParagraph"/>
        <w:jc w:val="both"/>
        <w:rPr>
          <w:rFonts w:ascii="Arial" w:eastAsia="Arial" w:hAnsi="Arial" w:cs="Arial"/>
          <w:sz w:val="22"/>
          <w:szCs w:val="22"/>
        </w:rPr>
      </w:pPr>
    </w:p>
    <w:p w14:paraId="76816377" w14:textId="77777777" w:rsidR="009806B1" w:rsidRDefault="009806B1" w:rsidP="007E1865">
      <w:pPr>
        <w:pStyle w:val="ListParagraph"/>
        <w:jc w:val="both"/>
        <w:rPr>
          <w:rFonts w:ascii="Arial" w:eastAsia="Arial" w:hAnsi="Arial" w:cs="Arial"/>
          <w:sz w:val="22"/>
          <w:szCs w:val="22"/>
        </w:rPr>
      </w:pPr>
      <w:r>
        <w:rPr>
          <w:rFonts w:ascii="Arial" w:eastAsia="Arial" w:hAnsi="Arial" w:cs="Arial"/>
          <w:sz w:val="22"/>
          <w:szCs w:val="22"/>
        </w:rPr>
        <w:t>By virtue of its direct conflict with national and local policies protecting National Landscapes</w:t>
      </w:r>
      <w:r>
        <w:rPr>
          <w:rFonts w:ascii="Arial" w:eastAsia="Arial" w:hAnsi="Arial" w:cs="Arial"/>
          <w:sz w:val="22"/>
          <w:szCs w:val="22"/>
        </w:rPr>
        <w:t xml:space="preserve">, </w:t>
      </w:r>
      <w:r>
        <w:rPr>
          <w:rFonts w:ascii="Arial" w:eastAsia="Arial" w:hAnsi="Arial" w:cs="Arial"/>
          <w:sz w:val="22"/>
          <w:szCs w:val="22"/>
        </w:rPr>
        <w:t>specifically Policy N7 (Cannock Chase) of the Plan for Stafford Borough and paragraph 189 of the NPPF</w:t>
      </w:r>
      <w:r>
        <w:rPr>
          <w:rFonts w:ascii="Arial" w:eastAsia="Arial" w:hAnsi="Arial" w:cs="Arial"/>
          <w:sz w:val="22"/>
          <w:szCs w:val="22"/>
        </w:rPr>
        <w:t xml:space="preserve">, </w:t>
      </w:r>
      <w:r>
        <w:rPr>
          <w:rFonts w:ascii="Arial" w:eastAsia="Arial" w:hAnsi="Arial" w:cs="Arial"/>
          <w:sz w:val="22"/>
          <w:szCs w:val="22"/>
        </w:rPr>
        <w:t>the application does not engage the presumption in favour of sustainable development set out at paragraph 11(d) of the NPPF. The “tilted balance” in favour of sustainable development does not apply where, as here, specific policies in the NPPF indicate that development should be restricted.</w:t>
      </w:r>
      <w:r>
        <w:rPr>
          <w:rFonts w:ascii="Arial" w:eastAsia="Arial" w:hAnsi="Arial" w:cs="Arial"/>
          <w:sz w:val="22"/>
          <w:szCs w:val="22"/>
        </w:rPr>
        <w:t xml:space="preserve"> </w:t>
      </w:r>
    </w:p>
    <w:p w14:paraId="742457F4" w14:textId="77777777" w:rsidR="009806B1" w:rsidRDefault="009806B1" w:rsidP="007E1865">
      <w:pPr>
        <w:pStyle w:val="ListParagraph"/>
        <w:jc w:val="both"/>
        <w:rPr>
          <w:rFonts w:ascii="Arial" w:eastAsia="Arial" w:hAnsi="Arial" w:cs="Arial"/>
          <w:sz w:val="22"/>
          <w:szCs w:val="22"/>
        </w:rPr>
      </w:pPr>
    </w:p>
    <w:p w14:paraId="34456B8A" w14:textId="465D231D" w:rsidR="009806B1" w:rsidRPr="009806B1" w:rsidRDefault="009806B1" w:rsidP="007E1865">
      <w:pPr>
        <w:pStyle w:val="ListParagraph"/>
        <w:jc w:val="both"/>
        <w:rPr>
          <w:rFonts w:ascii="Arial" w:eastAsia="Arial" w:hAnsi="Arial" w:cs="Arial"/>
          <w:sz w:val="22"/>
          <w:szCs w:val="22"/>
        </w:rPr>
      </w:pPr>
      <w:r>
        <w:rPr>
          <w:rFonts w:ascii="Arial" w:eastAsia="Arial" w:hAnsi="Arial" w:cs="Arial"/>
          <w:sz w:val="22"/>
          <w:szCs w:val="22"/>
        </w:rPr>
        <w:t xml:space="preserve">The applicant has not discharged the burden of demonstrating that any benefits arising from the delivery of new housing units would clearly outweigh the significant adverse impacts that would accrue from the development. In the absence of an up-to-date Local Plan, there is a particular risk that this application, if approved, would set a harmful precedent for further </w:t>
      </w:r>
      <w:r>
        <w:t>disconnected</w:t>
      </w:r>
      <w:r>
        <w:rPr>
          <w:rFonts w:ascii="Arial" w:eastAsia="Arial" w:hAnsi="Arial" w:cs="Arial"/>
          <w:sz w:val="22"/>
          <w:szCs w:val="22"/>
        </w:rPr>
        <w:t xml:space="preserve"> development in this sensitive fringe location without proper consideration of cumulative impacts on infrastructure and services</w:t>
      </w:r>
      <w:r>
        <w:rPr>
          <w:rFonts w:ascii="Arial" w:eastAsia="Arial" w:hAnsi="Arial" w:cs="Arial"/>
          <w:sz w:val="22"/>
          <w:szCs w:val="22"/>
        </w:rPr>
        <w:t>.,</w:t>
      </w:r>
    </w:p>
    <w:p w14:paraId="5DB8BED6" w14:textId="77777777" w:rsidR="009806B1" w:rsidRPr="000F71E8" w:rsidRDefault="009806B1" w:rsidP="007E1865">
      <w:pPr>
        <w:pStyle w:val="ListParagraph"/>
        <w:jc w:val="both"/>
      </w:pPr>
    </w:p>
    <w:p w14:paraId="5E362D89" w14:textId="77777777" w:rsidR="00F10854" w:rsidRDefault="000F71E8" w:rsidP="00F10854">
      <w:pPr>
        <w:pStyle w:val="ListParagraph"/>
        <w:numPr>
          <w:ilvl w:val="0"/>
          <w:numId w:val="1"/>
        </w:numPr>
        <w:jc w:val="both"/>
        <w:rPr>
          <w:b/>
          <w:bCs/>
        </w:rPr>
      </w:pPr>
      <w:r>
        <w:rPr>
          <w:b/>
          <w:bCs/>
        </w:rPr>
        <w:t xml:space="preserve">Intrusion into the Setting of Cannock Chase National Landscape </w:t>
      </w:r>
    </w:p>
    <w:p w14:paraId="21335363" w14:textId="77777777" w:rsidR="00F10854" w:rsidRDefault="009806B1" w:rsidP="00F10854">
      <w:pPr>
        <w:pStyle w:val="ListParagraph"/>
        <w:jc w:val="both"/>
        <w:rPr>
          <w:rFonts w:ascii="Arial" w:eastAsia="Arial" w:hAnsi="Arial" w:cs="Arial"/>
          <w:sz w:val="22"/>
          <w:szCs w:val="22"/>
        </w:rPr>
      </w:pPr>
      <w:r>
        <w:t>The application site occupies an exposed, elevated agricultural plateau. Its eastern boundary along the Green Gore Lane lies some 200 metres from the</w:t>
      </w:r>
      <w:r w:rsidRPr="00F10854">
        <w:rPr>
          <w:rFonts w:ascii="Arial" w:eastAsia="Arial" w:hAnsi="Arial" w:cs="Arial"/>
          <w:sz w:val="22"/>
          <w:szCs w:val="22"/>
        </w:rPr>
        <w:t xml:space="preserve"> </w:t>
      </w:r>
      <w:r w:rsidRPr="00F10854">
        <w:rPr>
          <w:rFonts w:ascii="Arial" w:eastAsia="Arial" w:hAnsi="Arial" w:cs="Arial"/>
          <w:sz w:val="22"/>
          <w:szCs w:val="22"/>
        </w:rPr>
        <w:t xml:space="preserve">boundary of the Cannock Chase National Landscape (formerly AONB). The site is directly visible from the National Landscape – including from public footpath Berkswich </w:t>
      </w:r>
      <w:r w:rsidRPr="00F10854">
        <w:rPr>
          <w:rFonts w:ascii="Arial" w:eastAsia="Arial" w:hAnsi="Arial" w:cs="Arial"/>
          <w:sz w:val="22"/>
          <w:szCs w:val="22"/>
        </w:rPr>
        <w:lastRenderedPageBreak/>
        <w:t>10, the hills above Milford Common, and vantage points near Billy’s Hill, Tixall – and forms part of what was historically designated as the Cannock Chase Buffer Zone.</w:t>
      </w:r>
    </w:p>
    <w:p w14:paraId="6B55302D" w14:textId="77777777" w:rsidR="00F10854" w:rsidRDefault="009806B1" w:rsidP="00F10854">
      <w:pPr>
        <w:pStyle w:val="ListParagraph"/>
        <w:jc w:val="both"/>
        <w:rPr>
          <w:rFonts w:ascii="Arial" w:eastAsia="Arial" w:hAnsi="Arial" w:cs="Arial"/>
          <w:sz w:val="22"/>
          <w:szCs w:val="22"/>
        </w:rPr>
      </w:pPr>
      <w:r>
        <w:rPr>
          <w:rFonts w:ascii="Arial" w:eastAsia="Arial" w:hAnsi="Arial" w:cs="Arial"/>
          <w:sz w:val="22"/>
          <w:szCs w:val="22"/>
        </w:rPr>
        <w:t>The extension of the urban edge of Stafford into this highly sensitive fringe area would constitute a harmful and permanent intrusion into the setting and key views of the National Landscape. This conflicts directly with:</w:t>
      </w:r>
    </w:p>
    <w:p w14:paraId="3EEA6651" w14:textId="77777777" w:rsidR="00F10854" w:rsidRPr="00F10854" w:rsidRDefault="009806B1" w:rsidP="00F10854">
      <w:pPr>
        <w:pStyle w:val="ListParagraph"/>
        <w:numPr>
          <w:ilvl w:val="0"/>
          <w:numId w:val="3"/>
        </w:numPr>
        <w:jc w:val="both"/>
        <w:rPr>
          <w:b/>
          <w:bCs/>
        </w:rPr>
      </w:pPr>
      <w:r w:rsidRPr="00F10854">
        <w:rPr>
          <w:rFonts w:ascii="Arial" w:eastAsia="Arial" w:hAnsi="Arial" w:cs="Arial"/>
          <w:sz w:val="22"/>
          <w:szCs w:val="22"/>
        </w:rPr>
        <w:t>Policy N7 of the Plan for Stafford Borough, which affords strong protection to the setting of Cannock Chase</w:t>
      </w:r>
      <w:r w:rsidRPr="00F10854">
        <w:rPr>
          <w:rFonts w:ascii="Arial" w:eastAsia="Arial" w:hAnsi="Arial" w:cs="Arial"/>
          <w:sz w:val="22"/>
          <w:szCs w:val="22"/>
        </w:rPr>
        <w:t xml:space="preserve">. </w:t>
      </w:r>
    </w:p>
    <w:p w14:paraId="3F16EF8D" w14:textId="77777777" w:rsidR="00F10854" w:rsidRPr="00F10854" w:rsidRDefault="009806B1" w:rsidP="00F10854">
      <w:pPr>
        <w:pStyle w:val="ListParagraph"/>
        <w:numPr>
          <w:ilvl w:val="0"/>
          <w:numId w:val="3"/>
        </w:numPr>
        <w:jc w:val="both"/>
        <w:rPr>
          <w:b/>
          <w:bCs/>
        </w:rPr>
      </w:pPr>
      <w:r w:rsidRPr="00F10854">
        <w:rPr>
          <w:rFonts w:ascii="Arial" w:eastAsia="Arial" w:hAnsi="Arial" w:cs="Arial"/>
          <w:sz w:val="22"/>
          <w:szCs w:val="22"/>
        </w:rPr>
        <w:t xml:space="preserve">Paragraph 189 of the NPPF (2024), which requires great weight to be given to conserving and enhancing landscape and scenic beauty in National Landscapes and their </w:t>
      </w:r>
      <w:r w:rsidRPr="00F10854">
        <w:rPr>
          <w:rFonts w:ascii="Arial" w:eastAsia="Arial" w:hAnsi="Arial" w:cs="Arial"/>
          <w:sz w:val="22"/>
          <w:szCs w:val="22"/>
        </w:rPr>
        <w:t>settings.</w:t>
      </w:r>
    </w:p>
    <w:p w14:paraId="0C20FF5A" w14:textId="77777777" w:rsidR="00F10854" w:rsidRPr="00F10854" w:rsidRDefault="009806B1" w:rsidP="00F10854">
      <w:pPr>
        <w:pStyle w:val="ListParagraph"/>
        <w:numPr>
          <w:ilvl w:val="0"/>
          <w:numId w:val="3"/>
        </w:numPr>
        <w:jc w:val="both"/>
        <w:rPr>
          <w:b/>
          <w:bCs/>
        </w:rPr>
      </w:pPr>
      <w:r w:rsidRPr="00F10854">
        <w:rPr>
          <w:rFonts w:ascii="Arial" w:eastAsia="Arial" w:hAnsi="Arial" w:cs="Arial"/>
          <w:sz w:val="22"/>
          <w:szCs w:val="22"/>
        </w:rPr>
        <w:t>Policy PL8 of the Cannock Chase National Landscape Management Plan 2025, which seeks to resist development that would harm the setting of or views from the National Landscape.</w:t>
      </w:r>
    </w:p>
    <w:p w14:paraId="7CD9E0D6" w14:textId="77777777" w:rsidR="00F10854" w:rsidRDefault="009806B1" w:rsidP="00F10854">
      <w:pPr>
        <w:pStyle w:val="ListParagraph"/>
        <w:jc w:val="both"/>
        <w:rPr>
          <w:rFonts w:ascii="Arial" w:eastAsia="Arial" w:hAnsi="Arial" w:cs="Arial"/>
          <w:sz w:val="22"/>
          <w:szCs w:val="22"/>
        </w:rPr>
      </w:pPr>
      <w:r w:rsidRPr="00F10854">
        <w:rPr>
          <w:rFonts w:ascii="Arial" w:eastAsia="Arial" w:hAnsi="Arial" w:cs="Arial"/>
          <w:sz w:val="22"/>
          <w:szCs w:val="22"/>
        </w:rPr>
        <w:t>The proposed layout, described in the submitted Masterplan as being “planted” on open high ground with an unimaginative road alignment showing no regard for topography, would accentuate the visual harm rather than minimise it. Three-storey dwellings on an elevated plateau would be particularly intrusive. The submitted documents contain no convincing assessment of the visual impact of the development on the National Landscape, nor any credible mitigation strategy.</w:t>
      </w:r>
    </w:p>
    <w:p w14:paraId="2B988D52" w14:textId="77777777" w:rsidR="00F10854" w:rsidRDefault="00F10854" w:rsidP="00F10854">
      <w:pPr>
        <w:pStyle w:val="ListParagraph"/>
        <w:jc w:val="both"/>
        <w:rPr>
          <w:rFonts w:ascii="Arial" w:eastAsia="Arial" w:hAnsi="Arial" w:cs="Arial"/>
          <w:sz w:val="22"/>
          <w:szCs w:val="22"/>
        </w:rPr>
      </w:pPr>
    </w:p>
    <w:p w14:paraId="081A8CF4" w14:textId="4D936BBA" w:rsidR="009806B1" w:rsidRPr="00F10854" w:rsidRDefault="009806B1" w:rsidP="00F10854">
      <w:pPr>
        <w:pStyle w:val="ListParagraph"/>
        <w:jc w:val="both"/>
        <w:rPr>
          <w:b/>
          <w:bCs/>
        </w:rPr>
      </w:pPr>
      <w:r>
        <w:rPr>
          <w:rFonts w:ascii="Arial" w:eastAsia="Arial" w:hAnsi="Arial" w:cs="Arial"/>
          <w:sz w:val="22"/>
          <w:szCs w:val="22"/>
        </w:rPr>
        <w:t>The elevated position of the site also poses significant risks of light pollution at night. This conflicts with Policy PL7 of the Cannock Chase National Landscape Management Plan 2025 and the Cannock Chase AONB Light Pollution and Dark Skies: A Good Lighting Guide (2023). The application makes no reference to these risks or to any measures that would be applied to avoid them.</w:t>
      </w:r>
    </w:p>
    <w:p w14:paraId="1CBAF9AE" w14:textId="7D9E340B" w:rsidR="009806B1" w:rsidRPr="009806B1" w:rsidRDefault="009806B1" w:rsidP="007E1865">
      <w:pPr>
        <w:pStyle w:val="ListParagraph"/>
        <w:jc w:val="both"/>
      </w:pPr>
    </w:p>
    <w:p w14:paraId="5CA14913" w14:textId="77777777" w:rsidR="00F10854" w:rsidRDefault="000F71E8" w:rsidP="00F10854">
      <w:pPr>
        <w:pStyle w:val="ListParagraph"/>
        <w:numPr>
          <w:ilvl w:val="0"/>
          <w:numId w:val="1"/>
        </w:numPr>
        <w:jc w:val="both"/>
        <w:rPr>
          <w:b/>
          <w:bCs/>
        </w:rPr>
      </w:pPr>
      <w:r>
        <w:rPr>
          <w:b/>
          <w:bCs/>
        </w:rPr>
        <w:t xml:space="preserve">Highways, Transport and Road Safety </w:t>
      </w:r>
    </w:p>
    <w:p w14:paraId="2D47E75A" w14:textId="77777777" w:rsidR="00F10854" w:rsidRDefault="009806B1" w:rsidP="00F10854">
      <w:pPr>
        <w:pStyle w:val="ListParagraph"/>
        <w:jc w:val="both"/>
        <w:rPr>
          <w:rFonts w:ascii="Arial" w:eastAsia="Arial" w:hAnsi="Arial" w:cs="Arial"/>
          <w:sz w:val="22"/>
          <w:szCs w:val="22"/>
        </w:rPr>
      </w:pPr>
      <w:r>
        <w:t>The proposed access to the development is to be provided via a basic, uncontrolled T-junction onto Milford Road, in close proximity to the existing busy junction onto Milford Road, in close proximity to the existing busy junction with The Rise.</w:t>
      </w:r>
      <w:r w:rsidR="007E1865" w:rsidRPr="00F10854">
        <w:rPr>
          <w:rFonts w:ascii="Arial" w:eastAsia="Arial" w:hAnsi="Arial" w:cs="Arial"/>
          <w:sz w:val="22"/>
          <w:szCs w:val="22"/>
        </w:rPr>
        <w:t xml:space="preserve"> </w:t>
      </w:r>
      <w:r w:rsidR="007E1865" w:rsidRPr="00F10854">
        <w:rPr>
          <w:rFonts w:ascii="Arial" w:eastAsia="Arial" w:hAnsi="Arial" w:cs="Arial"/>
          <w:sz w:val="22"/>
          <w:szCs w:val="22"/>
        </w:rPr>
        <w:t>This junction also provides the principal vehicular access to Walton High School and experiences extreme congestion during morning and afternoon school run peaks, exacerbated by pedestrian movements. The proximity of a recently approved convenience store and new bus lay-by at the same location will intensify this pressure further.</w:t>
      </w:r>
    </w:p>
    <w:p w14:paraId="558A9811" w14:textId="77777777" w:rsidR="00F10854" w:rsidRDefault="00F10854" w:rsidP="00F10854">
      <w:pPr>
        <w:pStyle w:val="ListParagraph"/>
        <w:jc w:val="both"/>
        <w:rPr>
          <w:rFonts w:ascii="Arial" w:eastAsia="Arial" w:hAnsi="Arial" w:cs="Arial"/>
          <w:sz w:val="22"/>
          <w:szCs w:val="22"/>
        </w:rPr>
      </w:pPr>
    </w:p>
    <w:p w14:paraId="4720329B" w14:textId="77777777" w:rsidR="00F10854" w:rsidRDefault="007E1865" w:rsidP="00F10854">
      <w:pPr>
        <w:pStyle w:val="ListParagraph"/>
        <w:jc w:val="both"/>
        <w:rPr>
          <w:rFonts w:ascii="Arial" w:eastAsia="Arial" w:hAnsi="Arial" w:cs="Arial"/>
          <w:sz w:val="22"/>
          <w:szCs w:val="22"/>
        </w:rPr>
      </w:pPr>
      <w:r>
        <w:rPr>
          <w:rFonts w:ascii="Arial" w:eastAsia="Arial" w:hAnsi="Arial" w:cs="Arial"/>
          <w:sz w:val="22"/>
          <w:szCs w:val="22"/>
        </w:rPr>
        <w:t xml:space="preserve">The geometry of the proposed access, a simple uncontrolled priority junction for a development of 360 dwellings, is wholly inadequate. </w:t>
      </w:r>
      <w:r>
        <w:rPr>
          <w:rFonts w:ascii="Arial" w:eastAsia="Arial" w:hAnsi="Arial" w:cs="Arial"/>
          <w:sz w:val="22"/>
          <w:szCs w:val="22"/>
        </w:rPr>
        <w:t>By comparison, the nearby Bluebell Hollow development of just 118 dwellings was provided with a signal-controlled access. The Police Liaison Officer’s consultation response acknowledges that in excess of 360 vehicles could wish to exit the site during busy commuter hours and recommends a combined traffic management and pedestrian crossing system be installed at the access junction. This recommendation alone highlights the inadequacy of what is currently proposed.</w:t>
      </w:r>
    </w:p>
    <w:p w14:paraId="3EFD9677" w14:textId="77777777" w:rsidR="00F10854" w:rsidRDefault="00F10854" w:rsidP="00F10854">
      <w:pPr>
        <w:pStyle w:val="ListParagraph"/>
        <w:jc w:val="both"/>
        <w:rPr>
          <w:rFonts w:ascii="Arial" w:eastAsia="Arial" w:hAnsi="Arial" w:cs="Arial"/>
          <w:sz w:val="22"/>
          <w:szCs w:val="22"/>
        </w:rPr>
      </w:pPr>
    </w:p>
    <w:p w14:paraId="54322920" w14:textId="77777777" w:rsidR="00F10854" w:rsidRDefault="007E1865" w:rsidP="00F10854">
      <w:pPr>
        <w:pStyle w:val="ListParagraph"/>
        <w:jc w:val="both"/>
        <w:rPr>
          <w:rFonts w:ascii="Arial" w:eastAsia="Arial" w:hAnsi="Arial" w:cs="Arial"/>
          <w:sz w:val="22"/>
          <w:szCs w:val="22"/>
        </w:rPr>
      </w:pPr>
      <w:r>
        <w:rPr>
          <w:rFonts w:ascii="Arial" w:eastAsia="Arial" w:hAnsi="Arial" w:cs="Arial"/>
          <w:sz w:val="22"/>
          <w:szCs w:val="22"/>
        </w:rPr>
        <w:t xml:space="preserve">Beyond the site access, the impact on the wider road network remains unresolved. The inability to deliver necessary highway improvements at the Weeping Cross junction was cited as Reason 2 for refusal of a previous application (14/20978/OUT) for only 225 dwellings on this site. The current application proposes 360 dwellings but fails to adequately address this long-standing objection. The suggestion within the Transport Assessment that mitigation could be achieved through revised lane markings and increased cycling provision is not credible. The Transport Assessment itself </w:t>
      </w:r>
      <w:r>
        <w:rPr>
          <w:rFonts w:ascii="Arial" w:eastAsia="Arial" w:hAnsi="Arial" w:cs="Arial"/>
          <w:sz w:val="22"/>
          <w:szCs w:val="22"/>
        </w:rPr>
        <w:lastRenderedPageBreak/>
        <w:t>acknowledges a peak-hour modal split in which cycling accounts for just 1.7% of commuting journeys. This claim does not withstand scrutiny and is contrary to:</w:t>
      </w:r>
    </w:p>
    <w:p w14:paraId="65F6DCAA" w14:textId="77777777" w:rsidR="00F10854" w:rsidRDefault="007E1865" w:rsidP="00F10854">
      <w:pPr>
        <w:pStyle w:val="ListParagraph"/>
        <w:numPr>
          <w:ilvl w:val="0"/>
          <w:numId w:val="4"/>
        </w:numPr>
        <w:jc w:val="both"/>
        <w:rPr>
          <w:rFonts w:ascii="Arial" w:eastAsia="Arial" w:hAnsi="Arial" w:cs="Arial"/>
          <w:sz w:val="22"/>
          <w:szCs w:val="22"/>
        </w:rPr>
      </w:pPr>
      <w:r w:rsidRPr="00F10854">
        <w:rPr>
          <w:rFonts w:ascii="Arial" w:eastAsia="Arial" w:hAnsi="Arial" w:cs="Arial"/>
          <w:sz w:val="22"/>
          <w:szCs w:val="22"/>
        </w:rPr>
        <w:t xml:space="preserve">NPPF paragraph 115, which requires that development does not have an unacceptable impact on highway safety or the road </w:t>
      </w:r>
      <w:r w:rsidRPr="00F10854">
        <w:rPr>
          <w:rFonts w:ascii="Arial" w:eastAsia="Arial" w:hAnsi="Arial" w:cs="Arial"/>
          <w:sz w:val="22"/>
          <w:szCs w:val="22"/>
        </w:rPr>
        <w:t>network.</w:t>
      </w:r>
    </w:p>
    <w:p w14:paraId="1F567F30" w14:textId="77777777" w:rsidR="00F10854" w:rsidRDefault="007E1865" w:rsidP="00F10854">
      <w:pPr>
        <w:pStyle w:val="ListParagraph"/>
        <w:numPr>
          <w:ilvl w:val="0"/>
          <w:numId w:val="4"/>
        </w:numPr>
        <w:jc w:val="both"/>
        <w:rPr>
          <w:rFonts w:ascii="Arial" w:eastAsia="Arial" w:hAnsi="Arial" w:cs="Arial"/>
          <w:sz w:val="22"/>
          <w:szCs w:val="22"/>
        </w:rPr>
      </w:pPr>
      <w:r w:rsidRPr="00F10854">
        <w:rPr>
          <w:rFonts w:ascii="Arial" w:eastAsia="Arial" w:hAnsi="Arial" w:cs="Arial"/>
          <w:sz w:val="22"/>
          <w:szCs w:val="22"/>
        </w:rPr>
        <w:t>NPPF paragraph 116, which requires development to be designed to give priority to the needs of pedestrians, cyclists and public transport users.</w:t>
      </w:r>
    </w:p>
    <w:p w14:paraId="3C3DF1FD" w14:textId="77777777" w:rsidR="00F10854" w:rsidRDefault="00F10854" w:rsidP="00F10854">
      <w:pPr>
        <w:pStyle w:val="ListParagraph"/>
        <w:jc w:val="both"/>
        <w:rPr>
          <w:rFonts w:ascii="Arial" w:eastAsia="Arial" w:hAnsi="Arial" w:cs="Arial"/>
          <w:sz w:val="22"/>
          <w:szCs w:val="22"/>
        </w:rPr>
      </w:pPr>
    </w:p>
    <w:p w14:paraId="2322EE60" w14:textId="5760EBAB" w:rsidR="00F10854" w:rsidRDefault="007E1865" w:rsidP="00F10854">
      <w:pPr>
        <w:pStyle w:val="ListParagraph"/>
        <w:jc w:val="both"/>
        <w:rPr>
          <w:rFonts w:ascii="Arial" w:eastAsia="Arial" w:hAnsi="Arial" w:cs="Arial"/>
          <w:sz w:val="22"/>
          <w:szCs w:val="22"/>
        </w:rPr>
      </w:pPr>
      <w:r w:rsidRPr="00F10854">
        <w:rPr>
          <w:rFonts w:ascii="Arial" w:eastAsia="Arial" w:hAnsi="Arial" w:cs="Arial"/>
          <w:sz w:val="22"/>
          <w:szCs w:val="22"/>
        </w:rPr>
        <w:t>The Masterplan and Design and Access Statement further imply that part of the estate distributor road could form part of a future Stafford Eastern Development Relief Road (EDR), bringing significantly higher traffic volumes through what is presented as a simple residential access junction. This critical implication is not addressed in the Transport Assessment. The proposed emergency access route via Falmouth Avenue is also considered inadequate and dangerous, without evidence to the contrary.</w:t>
      </w:r>
    </w:p>
    <w:p w14:paraId="6D971080" w14:textId="77777777" w:rsidR="00F10854" w:rsidRDefault="00F10854" w:rsidP="00F10854">
      <w:pPr>
        <w:pStyle w:val="ListParagraph"/>
        <w:jc w:val="both"/>
        <w:rPr>
          <w:rFonts w:ascii="Arial" w:eastAsia="Arial" w:hAnsi="Arial" w:cs="Arial"/>
          <w:sz w:val="22"/>
          <w:szCs w:val="22"/>
        </w:rPr>
      </w:pPr>
    </w:p>
    <w:p w14:paraId="40369EA4" w14:textId="0E1F9B57" w:rsidR="007E1865" w:rsidRPr="00F10854" w:rsidRDefault="007E1865" w:rsidP="00F10854">
      <w:pPr>
        <w:pStyle w:val="ListParagraph"/>
        <w:jc w:val="both"/>
        <w:rPr>
          <w:rFonts w:ascii="Arial" w:eastAsia="Arial" w:hAnsi="Arial" w:cs="Arial"/>
          <w:sz w:val="22"/>
          <w:szCs w:val="22"/>
        </w:rPr>
      </w:pPr>
      <w:r>
        <w:rPr>
          <w:rFonts w:ascii="Arial" w:eastAsia="Arial" w:hAnsi="Arial" w:cs="Arial"/>
          <w:sz w:val="22"/>
          <w:szCs w:val="22"/>
        </w:rPr>
        <w:t>In terms of public transport, the assertion in the Planning Statement and Transport Assessment that the site benefits from “frequent bus connections” is disputed. An hourly weekday bus service concluding at 18:22 does not constitute a frequent or sustainable public transport service. The site location cannot reasonably be characterised as “sustainable” in these circumstances, contrary to the aims of NPPF paragraph 113.</w:t>
      </w:r>
    </w:p>
    <w:p w14:paraId="18E68484" w14:textId="0A70CABB" w:rsidR="009806B1" w:rsidRPr="009806B1" w:rsidRDefault="009806B1" w:rsidP="007E1865">
      <w:pPr>
        <w:pStyle w:val="ListParagraph"/>
        <w:jc w:val="both"/>
      </w:pPr>
    </w:p>
    <w:p w14:paraId="10904C1A" w14:textId="77777777" w:rsidR="00F10854" w:rsidRDefault="000F71E8" w:rsidP="00F10854">
      <w:pPr>
        <w:pStyle w:val="ListParagraph"/>
        <w:numPr>
          <w:ilvl w:val="0"/>
          <w:numId w:val="1"/>
        </w:numPr>
        <w:jc w:val="both"/>
        <w:rPr>
          <w:b/>
          <w:bCs/>
        </w:rPr>
      </w:pPr>
      <w:r>
        <w:rPr>
          <w:b/>
          <w:bCs/>
        </w:rPr>
        <w:t xml:space="preserve">Lack of Capacity in Local Schools, Health Facilities and </w:t>
      </w:r>
      <w:r w:rsidR="007E1865">
        <w:rPr>
          <w:b/>
          <w:bCs/>
        </w:rPr>
        <w:t>Infrastructure</w:t>
      </w:r>
      <w:r>
        <w:rPr>
          <w:b/>
          <w:bCs/>
        </w:rPr>
        <w:t xml:space="preserve"> </w:t>
      </w:r>
    </w:p>
    <w:p w14:paraId="245D1157" w14:textId="77777777" w:rsidR="00F10854" w:rsidRDefault="00F10854" w:rsidP="00F10854">
      <w:pPr>
        <w:pStyle w:val="ListParagraph"/>
        <w:jc w:val="both"/>
        <w:rPr>
          <w:b/>
          <w:bCs/>
        </w:rPr>
      </w:pPr>
    </w:p>
    <w:p w14:paraId="7C665288" w14:textId="77777777" w:rsidR="00F10854" w:rsidRDefault="007E1865" w:rsidP="00F10854">
      <w:pPr>
        <w:pStyle w:val="ListParagraph"/>
        <w:jc w:val="both"/>
      </w:pPr>
      <w:r>
        <w:t xml:space="preserve">The proposed development , in isolation and without consideration of the cumulative impact of other residential developments being promoted access Stafford Borough, would impose a substantial and unreasonable burden on existing community facilities that are already at or above capacity. </w:t>
      </w:r>
    </w:p>
    <w:p w14:paraId="514B3D3E" w14:textId="77777777" w:rsidR="00F10854" w:rsidRDefault="00F10854" w:rsidP="00F10854">
      <w:pPr>
        <w:pStyle w:val="ListParagraph"/>
        <w:jc w:val="both"/>
      </w:pPr>
    </w:p>
    <w:p w14:paraId="5CE2A4B6" w14:textId="77777777" w:rsidR="00F10854" w:rsidRDefault="007E1865" w:rsidP="00F10854">
      <w:pPr>
        <w:pStyle w:val="ListParagraph"/>
        <w:jc w:val="both"/>
        <w:rPr>
          <w:rFonts w:ascii="Arial" w:eastAsia="Arial" w:hAnsi="Arial" w:cs="Arial"/>
          <w:sz w:val="22"/>
          <w:szCs w:val="22"/>
        </w:rPr>
      </w:pPr>
      <w:r>
        <w:rPr>
          <w:rFonts w:ascii="Arial" w:eastAsia="Arial" w:hAnsi="Arial" w:cs="Arial"/>
          <w:sz w:val="22"/>
          <w:szCs w:val="22"/>
        </w:rPr>
        <w:t>Schools: The applicant’s own Education Needs Review (ENR) confirms at Figure 4.7.1 that in the academic year 2023–24, four of the nine primary schools in the Stafford South catchment area</w:t>
      </w:r>
      <w:r>
        <w:rPr>
          <w:rFonts w:ascii="Arial" w:eastAsia="Arial" w:hAnsi="Arial" w:cs="Arial"/>
          <w:sz w:val="22"/>
          <w:szCs w:val="22"/>
        </w:rPr>
        <w:t xml:space="preserve">, </w:t>
      </w:r>
      <w:r>
        <w:rPr>
          <w:rFonts w:ascii="Arial" w:eastAsia="Arial" w:hAnsi="Arial" w:cs="Arial"/>
          <w:sz w:val="22"/>
          <w:szCs w:val="22"/>
        </w:rPr>
        <w:t>including the four nearest the application site</w:t>
      </w:r>
      <w:r>
        <w:rPr>
          <w:rFonts w:ascii="Arial" w:eastAsia="Arial" w:hAnsi="Arial" w:cs="Arial"/>
          <w:sz w:val="22"/>
          <w:szCs w:val="22"/>
        </w:rPr>
        <w:t xml:space="preserve">, </w:t>
      </w:r>
      <w:r>
        <w:rPr>
          <w:rFonts w:ascii="Arial" w:eastAsia="Arial" w:hAnsi="Arial" w:cs="Arial"/>
          <w:sz w:val="22"/>
          <w:szCs w:val="22"/>
        </w:rPr>
        <w:t>were operating above capacity. None of the remaining five schools operate below 93% capacity, leaving negligible flexibility to absorb significant additional demand. The one local secondary school operates at 95% capacity. The suggestion in the ENR that additional pupils could be dispersed to lower-capacity schools within a three-mile catchment is not acceptable: it represents a denial of parental choice; it would generate additional vehicular journeys on already congested roads; and it would require young children to walk unacceptable distances along heavily trafficked roads with poor air quality.</w:t>
      </w:r>
    </w:p>
    <w:p w14:paraId="0ECF3CDB" w14:textId="77777777" w:rsidR="00F10854" w:rsidRDefault="00F10854" w:rsidP="00F10854">
      <w:pPr>
        <w:pStyle w:val="ListParagraph"/>
        <w:jc w:val="both"/>
        <w:rPr>
          <w:rFonts w:ascii="Arial" w:eastAsia="Arial" w:hAnsi="Arial" w:cs="Arial"/>
          <w:sz w:val="22"/>
          <w:szCs w:val="22"/>
        </w:rPr>
      </w:pPr>
    </w:p>
    <w:p w14:paraId="6384D69F" w14:textId="77777777" w:rsidR="00F10854" w:rsidRDefault="007E1865" w:rsidP="00F10854">
      <w:pPr>
        <w:pStyle w:val="ListParagraph"/>
        <w:jc w:val="both"/>
        <w:rPr>
          <w:rFonts w:ascii="Arial" w:eastAsia="Arial" w:hAnsi="Arial" w:cs="Arial"/>
          <w:sz w:val="22"/>
          <w:szCs w:val="22"/>
        </w:rPr>
      </w:pPr>
      <w:r>
        <w:rPr>
          <w:rFonts w:ascii="Arial" w:eastAsia="Arial" w:hAnsi="Arial" w:cs="Arial"/>
          <w:sz w:val="22"/>
          <w:szCs w:val="22"/>
        </w:rPr>
        <w:t xml:space="preserve">Health Services: Local GP surgeries across Stafford are understood to be operating at or above capacity. County Hospital and the Royal Stoke University Hospital are both working at or above sustainable capacity. These issues are already a matter of serious concern to local residents. The addition of up to 360 new dwellings and the associated increase in patient numbers would materially aggravate these pressures. There is no recognition of these issues in the application </w:t>
      </w:r>
      <w:r>
        <w:rPr>
          <w:rFonts w:ascii="Arial" w:eastAsia="Arial" w:hAnsi="Arial" w:cs="Arial"/>
          <w:sz w:val="22"/>
          <w:szCs w:val="22"/>
        </w:rPr>
        <w:t>documents,</w:t>
      </w:r>
      <w:r>
        <w:rPr>
          <w:rFonts w:ascii="Arial" w:eastAsia="Arial" w:hAnsi="Arial" w:cs="Arial"/>
          <w:sz w:val="22"/>
          <w:szCs w:val="22"/>
        </w:rPr>
        <w:t xml:space="preserve"> and no measures are proposed to address them, contrary to NPPF paragraph 99, which requires that development is supported by adequate healthcare infrastructure.</w:t>
      </w:r>
    </w:p>
    <w:p w14:paraId="4BAD7F3E" w14:textId="77777777" w:rsidR="00F10854" w:rsidRDefault="00F10854" w:rsidP="00F10854">
      <w:pPr>
        <w:pStyle w:val="ListParagraph"/>
        <w:jc w:val="both"/>
        <w:rPr>
          <w:rFonts w:ascii="Arial" w:eastAsia="Arial" w:hAnsi="Arial" w:cs="Arial"/>
          <w:sz w:val="22"/>
          <w:szCs w:val="22"/>
        </w:rPr>
      </w:pPr>
    </w:p>
    <w:p w14:paraId="0DBE0525" w14:textId="7A2A8140" w:rsidR="007E1865" w:rsidRPr="00F10854" w:rsidRDefault="007E1865" w:rsidP="00F10854">
      <w:pPr>
        <w:pStyle w:val="ListParagraph"/>
        <w:jc w:val="both"/>
        <w:rPr>
          <w:b/>
          <w:bCs/>
        </w:rPr>
      </w:pPr>
      <w:r>
        <w:rPr>
          <w:rFonts w:ascii="Arial" w:eastAsia="Arial" w:hAnsi="Arial" w:cs="Arial"/>
          <w:sz w:val="22"/>
          <w:szCs w:val="22"/>
        </w:rPr>
        <w:t xml:space="preserve">Water and Sewerage Infrastructure: There are established local issues with the capacity of the sewage network, which reportedly experiences blockages and overflow under storm conditions. The Planning Statement disposes of foul drainage in a single sentence, asserting that discharge can be made into a 225mm foul sewer without providing any evidence that the sewer or Brancote Sewage Treatment Works has </w:t>
      </w:r>
      <w:r>
        <w:rPr>
          <w:rFonts w:ascii="Arial" w:eastAsia="Arial" w:hAnsi="Arial" w:cs="Arial"/>
          <w:sz w:val="22"/>
          <w:szCs w:val="22"/>
        </w:rPr>
        <w:lastRenderedPageBreak/>
        <w:t>sufficient residual capacity to accommodate the additional load from 360 new dwellings. Water supply pressure locally has also been inadequate, with at least one instance in the past decade of bottled water being distributed to local households. Neither of these critical infrastructure issues is discussed in the application documents, which constitutes a fundamental failure of the assessment.</w:t>
      </w:r>
    </w:p>
    <w:p w14:paraId="37133E6C" w14:textId="4DD81D8E" w:rsidR="007E1865" w:rsidRPr="007E1865" w:rsidRDefault="007E1865" w:rsidP="007E1865">
      <w:pPr>
        <w:pStyle w:val="ListParagraph"/>
        <w:jc w:val="both"/>
      </w:pPr>
    </w:p>
    <w:p w14:paraId="02D93BB6" w14:textId="77777777" w:rsidR="00F10854" w:rsidRDefault="000F71E8" w:rsidP="00F10854">
      <w:pPr>
        <w:pStyle w:val="ListParagraph"/>
        <w:numPr>
          <w:ilvl w:val="0"/>
          <w:numId w:val="1"/>
        </w:numPr>
        <w:jc w:val="both"/>
        <w:rPr>
          <w:b/>
          <w:bCs/>
        </w:rPr>
      </w:pPr>
      <w:r>
        <w:rPr>
          <w:b/>
          <w:bCs/>
        </w:rPr>
        <w:t>Ecology, Biodiversity and Impact on Designated Sites</w:t>
      </w:r>
    </w:p>
    <w:p w14:paraId="5E6030F5" w14:textId="77777777" w:rsidR="00F10854" w:rsidRDefault="00F10854" w:rsidP="00F10854">
      <w:pPr>
        <w:pStyle w:val="ListParagraph"/>
        <w:jc w:val="both"/>
      </w:pPr>
    </w:p>
    <w:p w14:paraId="4E993838" w14:textId="15A4626A" w:rsidR="001E10CE" w:rsidRPr="00F10854" w:rsidRDefault="007E1865" w:rsidP="00F10854">
      <w:pPr>
        <w:pStyle w:val="ListParagraph"/>
        <w:jc w:val="both"/>
        <w:rPr>
          <w:b/>
          <w:bCs/>
        </w:rPr>
      </w:pPr>
      <w:r>
        <w:t xml:space="preserve">The Ecological Impact Assessment submitted with the application was prepared by </w:t>
      </w:r>
      <w:r w:rsidR="001E10CE">
        <w:t>Collington</w:t>
      </w:r>
      <w:r>
        <w:t xml:space="preserve"> Winter </w:t>
      </w:r>
      <w:r w:rsidR="001E10CE">
        <w:t>Environmental</w:t>
      </w:r>
      <w:r>
        <w:t xml:space="preserve"> Ltd (</w:t>
      </w:r>
      <w:r w:rsidR="001E10CE">
        <w:t>September</w:t>
      </w:r>
      <w:r>
        <w:t xml:space="preserve"> </w:t>
      </w:r>
      <w:r w:rsidR="001E10CE">
        <w:t>20</w:t>
      </w:r>
      <w:r>
        <w:t>25) and confirms a number of sig</w:t>
      </w:r>
      <w:r w:rsidR="001E10CE">
        <w:t>nificant ecological sensitivities that have not been adequately assessed or mitigated.</w:t>
      </w:r>
      <w:r w:rsidR="001E10CE" w:rsidRPr="00F10854">
        <w:rPr>
          <w:rFonts w:ascii="Arial" w:eastAsia="Arial" w:hAnsi="Arial" w:cs="Arial"/>
          <w:sz w:val="22"/>
          <w:szCs w:val="22"/>
        </w:rPr>
        <w:t xml:space="preserve"> </w:t>
      </w:r>
      <w:r w:rsidR="001E10CE" w:rsidRPr="00F10854">
        <w:rPr>
          <w:rFonts w:ascii="Arial" w:eastAsia="Arial" w:hAnsi="Arial" w:cs="Arial"/>
          <w:sz w:val="22"/>
          <w:szCs w:val="22"/>
        </w:rPr>
        <w:t>The site lies within the impact risk zones of multiple designated sites, including:</w:t>
      </w:r>
    </w:p>
    <w:p w14:paraId="670EA8B0" w14:textId="24E7B442" w:rsidR="001E10CE" w:rsidRDefault="001E10CE" w:rsidP="001E10CE">
      <w:pPr>
        <w:pStyle w:val="ListParagraph"/>
        <w:numPr>
          <w:ilvl w:val="0"/>
          <w:numId w:val="2"/>
        </w:numPr>
        <w:contextualSpacing w:val="0"/>
        <w:jc w:val="both"/>
      </w:pPr>
      <w:r>
        <w:rPr>
          <w:rFonts w:ascii="Arial" w:eastAsia="Arial" w:hAnsi="Arial" w:cs="Arial"/>
          <w:sz w:val="22"/>
          <w:szCs w:val="22"/>
        </w:rPr>
        <w:t xml:space="preserve">Baswich Meadows SSSI (700m from the site) – an important site for breeding waders in the Sow </w:t>
      </w:r>
      <w:r>
        <w:rPr>
          <w:rFonts w:ascii="Arial" w:eastAsia="Arial" w:hAnsi="Arial" w:cs="Arial"/>
          <w:sz w:val="22"/>
          <w:szCs w:val="22"/>
        </w:rPr>
        <w:t>Valley.</w:t>
      </w:r>
    </w:p>
    <w:p w14:paraId="386A5ACE" w14:textId="279808BF" w:rsidR="001E10CE" w:rsidRDefault="001E10CE" w:rsidP="001E10CE">
      <w:pPr>
        <w:pStyle w:val="ListParagraph"/>
        <w:numPr>
          <w:ilvl w:val="0"/>
          <w:numId w:val="2"/>
        </w:numPr>
        <w:contextualSpacing w:val="0"/>
        <w:jc w:val="both"/>
      </w:pPr>
      <w:r>
        <w:rPr>
          <w:rFonts w:ascii="Arial" w:eastAsia="Arial" w:hAnsi="Arial" w:cs="Arial"/>
          <w:sz w:val="22"/>
          <w:szCs w:val="22"/>
        </w:rPr>
        <w:t xml:space="preserve">Cannock Chase SSSI and Special Area of Conservation (SAC) (1.4km from the site) – containing the most extensive area of lowland heath in the Midlands and subject to detailed Habitats Regulations Assessment </w:t>
      </w:r>
      <w:r>
        <w:rPr>
          <w:rFonts w:ascii="Arial" w:eastAsia="Arial" w:hAnsi="Arial" w:cs="Arial"/>
          <w:sz w:val="22"/>
          <w:szCs w:val="22"/>
        </w:rPr>
        <w:t>requirements.</w:t>
      </w:r>
    </w:p>
    <w:p w14:paraId="632A55C5" w14:textId="6BFB6FE8" w:rsidR="001E10CE" w:rsidRDefault="001E10CE" w:rsidP="001E10CE">
      <w:pPr>
        <w:pStyle w:val="ListParagraph"/>
        <w:numPr>
          <w:ilvl w:val="0"/>
          <w:numId w:val="2"/>
        </w:numPr>
        <w:contextualSpacing w:val="0"/>
        <w:jc w:val="both"/>
      </w:pPr>
      <w:r>
        <w:rPr>
          <w:rFonts w:ascii="Arial" w:eastAsia="Arial" w:hAnsi="Arial" w:cs="Arial"/>
          <w:sz w:val="22"/>
          <w:szCs w:val="22"/>
        </w:rPr>
        <w:t xml:space="preserve">Rawbones Meadow SSSI (2km from the site) – a species-rich flood meadow of significance in the Sow </w:t>
      </w:r>
      <w:r>
        <w:rPr>
          <w:rFonts w:ascii="Arial" w:eastAsia="Arial" w:hAnsi="Arial" w:cs="Arial"/>
          <w:sz w:val="22"/>
          <w:szCs w:val="22"/>
        </w:rPr>
        <w:t>Valley.</w:t>
      </w:r>
    </w:p>
    <w:p w14:paraId="41239EC2" w14:textId="77777777" w:rsidR="00F10854" w:rsidRPr="00F10854" w:rsidRDefault="001E10CE" w:rsidP="00F10854">
      <w:pPr>
        <w:pStyle w:val="ListParagraph"/>
        <w:numPr>
          <w:ilvl w:val="0"/>
          <w:numId w:val="2"/>
        </w:numPr>
        <w:contextualSpacing w:val="0"/>
        <w:jc w:val="both"/>
      </w:pPr>
      <w:r>
        <w:rPr>
          <w:rFonts w:ascii="Arial" w:eastAsia="Arial" w:hAnsi="Arial" w:cs="Arial"/>
          <w:sz w:val="22"/>
          <w:szCs w:val="22"/>
        </w:rPr>
        <w:t>Doxey and Tillington Marshes SSSI (4.2km) – an important wetland complex on the edge of Stafford.</w:t>
      </w:r>
    </w:p>
    <w:p w14:paraId="758C7CAB" w14:textId="77777777" w:rsidR="00F10854" w:rsidRDefault="001E10CE" w:rsidP="00F10854">
      <w:pPr>
        <w:pStyle w:val="ListParagraph"/>
        <w:spacing w:after="80"/>
        <w:contextualSpacing w:val="0"/>
        <w:jc w:val="both"/>
        <w:rPr>
          <w:rFonts w:ascii="Arial" w:eastAsia="Arial" w:hAnsi="Arial" w:cs="Arial"/>
          <w:sz w:val="22"/>
          <w:szCs w:val="22"/>
        </w:rPr>
      </w:pPr>
      <w:r w:rsidRPr="00F10854">
        <w:rPr>
          <w:rFonts w:ascii="Arial" w:eastAsia="Arial" w:hAnsi="Arial" w:cs="Arial"/>
          <w:sz w:val="22"/>
          <w:szCs w:val="22"/>
        </w:rPr>
        <w:t>The Ecological Impact Assessment acknowledges that the proposed residential development would increase footfall on nearby designated sites, and assesses the potential impact on these sites as “High” in the absence of mitigation. Cannock Chase SAC is already under significant recreational pressure; the financial contribution proposed under a S106 agreement (at the standard Stafford Borough Council rate of £355.02 per dwelling) must be secured and must reflect the scale of impact. The application does not provide adequate assurance on this point.</w:t>
      </w:r>
    </w:p>
    <w:p w14:paraId="11A8B557" w14:textId="77777777" w:rsidR="00F10854" w:rsidRDefault="00F10854" w:rsidP="00F10854">
      <w:pPr>
        <w:pStyle w:val="ListParagraph"/>
        <w:spacing w:after="80"/>
        <w:contextualSpacing w:val="0"/>
        <w:jc w:val="both"/>
        <w:rPr>
          <w:rFonts w:ascii="Arial" w:eastAsia="Arial" w:hAnsi="Arial" w:cs="Arial"/>
          <w:sz w:val="22"/>
          <w:szCs w:val="22"/>
        </w:rPr>
      </w:pPr>
    </w:p>
    <w:p w14:paraId="1AB040D4" w14:textId="77777777" w:rsidR="00F10854" w:rsidRDefault="001E10CE" w:rsidP="00F10854">
      <w:pPr>
        <w:pStyle w:val="ListParagraph"/>
        <w:spacing w:after="80"/>
        <w:contextualSpacing w:val="0"/>
        <w:jc w:val="both"/>
        <w:rPr>
          <w:rFonts w:ascii="Arial" w:eastAsia="Arial" w:hAnsi="Arial" w:cs="Arial"/>
          <w:sz w:val="22"/>
          <w:szCs w:val="22"/>
        </w:rPr>
      </w:pPr>
      <w:r>
        <w:rPr>
          <w:rFonts w:ascii="Arial" w:eastAsia="Arial" w:hAnsi="Arial" w:cs="Arial"/>
          <w:sz w:val="22"/>
          <w:szCs w:val="22"/>
        </w:rPr>
        <w:t>The site supports a number of protected and priority species:</w:t>
      </w:r>
    </w:p>
    <w:p w14:paraId="59726F3E" w14:textId="77777777" w:rsidR="00F10854" w:rsidRPr="00F10854" w:rsidRDefault="001E10CE" w:rsidP="00F10854">
      <w:pPr>
        <w:pStyle w:val="ListParagraph"/>
        <w:numPr>
          <w:ilvl w:val="0"/>
          <w:numId w:val="6"/>
        </w:numPr>
        <w:spacing w:after="80"/>
        <w:contextualSpacing w:val="0"/>
        <w:jc w:val="both"/>
      </w:pPr>
      <w:r w:rsidRPr="00F10854">
        <w:rPr>
          <w:rFonts w:ascii="Arial" w:eastAsia="Arial" w:hAnsi="Arial" w:cs="Arial"/>
          <w:sz w:val="22"/>
          <w:szCs w:val="22"/>
        </w:rPr>
        <w:t xml:space="preserve">Bats: Three trees within the site were assessed as providing moderate potential for roosting bats (including veteran English oaks), with further bat roosting potential identified in trees within the blueline boundary to the north. The magnitude of impact on roosting bats is assessed as “Major” in the absence of mitigation. The presence or absence of roosts in these trees remains </w:t>
      </w:r>
      <w:r w:rsidRPr="00F10854">
        <w:rPr>
          <w:rFonts w:ascii="Arial" w:eastAsia="Arial" w:hAnsi="Arial" w:cs="Arial"/>
          <w:sz w:val="22"/>
          <w:szCs w:val="22"/>
        </w:rPr>
        <w:t>unconfirmed.</w:t>
      </w:r>
    </w:p>
    <w:p w14:paraId="764D8485" w14:textId="77777777" w:rsidR="00F10854" w:rsidRPr="00F10854" w:rsidRDefault="001E10CE" w:rsidP="00F10854">
      <w:pPr>
        <w:pStyle w:val="ListParagraph"/>
        <w:numPr>
          <w:ilvl w:val="0"/>
          <w:numId w:val="6"/>
        </w:numPr>
        <w:spacing w:after="80"/>
        <w:contextualSpacing w:val="0"/>
        <w:jc w:val="both"/>
      </w:pPr>
      <w:r w:rsidRPr="00F10854">
        <w:rPr>
          <w:rFonts w:ascii="Arial" w:eastAsia="Arial" w:hAnsi="Arial" w:cs="Arial"/>
          <w:sz w:val="22"/>
          <w:szCs w:val="22"/>
        </w:rPr>
        <w:t xml:space="preserve">Birds: Breeding bird surveys identified eight Red-listed and eleven Amber-listed species of conservation concern, including skylark (which was recorded as breeding on the site), linnet, song thrush, and yellow wagtail. The site provides active breeding habitat for priority bird species that will be lost to </w:t>
      </w:r>
      <w:r w:rsidRPr="00F10854">
        <w:rPr>
          <w:rFonts w:ascii="Arial" w:eastAsia="Arial" w:hAnsi="Arial" w:cs="Arial"/>
          <w:sz w:val="22"/>
          <w:szCs w:val="22"/>
        </w:rPr>
        <w:t>development.</w:t>
      </w:r>
    </w:p>
    <w:p w14:paraId="4B49E097" w14:textId="77777777" w:rsidR="00F10854" w:rsidRPr="00F10854" w:rsidRDefault="001E10CE" w:rsidP="00F10854">
      <w:pPr>
        <w:pStyle w:val="ListParagraph"/>
        <w:numPr>
          <w:ilvl w:val="0"/>
          <w:numId w:val="6"/>
        </w:numPr>
        <w:spacing w:after="80"/>
        <w:contextualSpacing w:val="0"/>
        <w:jc w:val="both"/>
      </w:pPr>
      <w:r w:rsidRPr="00F10854">
        <w:rPr>
          <w:rFonts w:ascii="Arial" w:eastAsia="Arial" w:hAnsi="Arial" w:cs="Arial"/>
          <w:sz w:val="22"/>
          <w:szCs w:val="22"/>
        </w:rPr>
        <w:t xml:space="preserve">Hedgehogs and Brown Hare: Both species are deemed likely present on site and are Species of Principal Importance under Section 41 of the NERC Act 2006. Neither has been adequately addressed in the mitigation </w:t>
      </w:r>
      <w:r w:rsidRPr="00F10854">
        <w:rPr>
          <w:rFonts w:ascii="Arial" w:eastAsia="Arial" w:hAnsi="Arial" w:cs="Arial"/>
          <w:sz w:val="22"/>
          <w:szCs w:val="22"/>
        </w:rPr>
        <w:t>strategy.</w:t>
      </w:r>
    </w:p>
    <w:p w14:paraId="4996B524" w14:textId="3D7EFA02" w:rsidR="00F10854" w:rsidRPr="00F10854" w:rsidRDefault="001E10CE" w:rsidP="00F10854">
      <w:pPr>
        <w:pStyle w:val="ListParagraph"/>
        <w:numPr>
          <w:ilvl w:val="0"/>
          <w:numId w:val="6"/>
        </w:numPr>
        <w:spacing w:after="80"/>
        <w:contextualSpacing w:val="0"/>
        <w:jc w:val="both"/>
      </w:pPr>
      <w:r w:rsidRPr="00F10854">
        <w:rPr>
          <w:rFonts w:ascii="Arial" w:eastAsia="Arial" w:hAnsi="Arial" w:cs="Arial"/>
          <w:sz w:val="22"/>
          <w:szCs w:val="22"/>
        </w:rPr>
        <w:t>Otter: Records of otter have been returned from the nearby River Sow. The proposed development could have indirect impacts via pollution run-off and increased recreational disturbance to watercourses and associated habitat.</w:t>
      </w:r>
    </w:p>
    <w:p w14:paraId="11A061B5" w14:textId="0688CFC0" w:rsidR="001E10CE" w:rsidRDefault="001E10CE" w:rsidP="00F10854">
      <w:pPr>
        <w:pStyle w:val="ListParagraph"/>
        <w:spacing w:after="80"/>
        <w:contextualSpacing w:val="0"/>
        <w:jc w:val="both"/>
      </w:pPr>
      <w:r w:rsidRPr="00F10854">
        <w:rPr>
          <w:rFonts w:ascii="Arial" w:eastAsia="Arial" w:hAnsi="Arial" w:cs="Arial"/>
          <w:sz w:val="22"/>
          <w:szCs w:val="22"/>
        </w:rPr>
        <w:t xml:space="preserve">These impacts have not been fully assessed or credibly mitigated, contrary to NPPF paragraphs 192–193, which require local planning authorities to protect and enhance </w:t>
      </w:r>
      <w:r w:rsidRPr="00F10854">
        <w:rPr>
          <w:rFonts w:ascii="Arial" w:eastAsia="Arial" w:hAnsi="Arial" w:cs="Arial"/>
          <w:sz w:val="22"/>
          <w:szCs w:val="22"/>
        </w:rPr>
        <w:lastRenderedPageBreak/>
        <w:t>biodiversity and ensure that development does not result in a net loss of biodiversity value. The application also fails to satisfy the requirements of Lichfield District Local Plan Core Policy 13 and Policy NR3 regarding ecological networks.</w:t>
      </w:r>
    </w:p>
    <w:p w14:paraId="62D02B4E" w14:textId="50D12A61" w:rsidR="007E1865" w:rsidRPr="007E1865" w:rsidRDefault="007E1865" w:rsidP="001E10CE">
      <w:pPr>
        <w:pStyle w:val="ListParagraph"/>
        <w:jc w:val="both"/>
      </w:pPr>
    </w:p>
    <w:p w14:paraId="6DE1E1AD" w14:textId="77777777" w:rsidR="00F10854" w:rsidRDefault="007E1865" w:rsidP="00F10854">
      <w:pPr>
        <w:pStyle w:val="ListParagraph"/>
        <w:numPr>
          <w:ilvl w:val="0"/>
          <w:numId w:val="1"/>
        </w:numPr>
        <w:jc w:val="both"/>
        <w:rPr>
          <w:b/>
          <w:bCs/>
        </w:rPr>
      </w:pPr>
      <w:r>
        <w:rPr>
          <w:b/>
          <w:bCs/>
        </w:rPr>
        <w:t xml:space="preserve">Crime Prevention, Community Safety and Secured by Design </w:t>
      </w:r>
    </w:p>
    <w:p w14:paraId="2E809D5E" w14:textId="77777777" w:rsidR="00F10854" w:rsidRDefault="001E10CE" w:rsidP="00F10854">
      <w:pPr>
        <w:pStyle w:val="ListParagraph"/>
        <w:jc w:val="both"/>
        <w:rPr>
          <w:rFonts w:ascii="Arial" w:eastAsia="Arial" w:hAnsi="Arial" w:cs="Arial"/>
          <w:sz w:val="22"/>
          <w:szCs w:val="22"/>
        </w:rPr>
      </w:pPr>
      <w:r>
        <w:t xml:space="preserve">Although the site does not comprise Best and Most Versatile (BMV) land as classified under the Agricultural Land Classification, the site is ion active productive agricultural use, with at least one arable crop harvested annually. </w:t>
      </w:r>
      <w:r w:rsidRPr="00F10854">
        <w:rPr>
          <w:rFonts w:ascii="Arial" w:eastAsia="Arial" w:hAnsi="Arial" w:cs="Arial"/>
          <w:sz w:val="22"/>
          <w:szCs w:val="22"/>
        </w:rPr>
        <w:t>The permanent loss of this productive farmland to residential development would contribute to the progressive erosion of food-producing land at a time of increasing concern regarding national food security.</w:t>
      </w:r>
    </w:p>
    <w:p w14:paraId="09B67D7D" w14:textId="77777777" w:rsidR="00F10854" w:rsidRDefault="00F10854" w:rsidP="00F10854">
      <w:pPr>
        <w:pStyle w:val="ListParagraph"/>
        <w:jc w:val="both"/>
        <w:rPr>
          <w:rFonts w:ascii="Arial" w:eastAsia="Arial" w:hAnsi="Arial" w:cs="Arial"/>
          <w:sz w:val="22"/>
          <w:szCs w:val="22"/>
        </w:rPr>
      </w:pPr>
    </w:p>
    <w:p w14:paraId="5BDD3C58" w14:textId="1721E0B7" w:rsidR="001E10CE" w:rsidRPr="00F10854" w:rsidRDefault="001E10CE" w:rsidP="00F10854">
      <w:pPr>
        <w:pStyle w:val="ListParagraph"/>
        <w:jc w:val="both"/>
        <w:rPr>
          <w:b/>
          <w:bCs/>
        </w:rPr>
      </w:pPr>
      <w:r>
        <w:rPr>
          <w:rFonts w:ascii="Arial" w:eastAsia="Arial" w:hAnsi="Arial" w:cs="Arial"/>
          <w:sz w:val="22"/>
          <w:szCs w:val="22"/>
        </w:rPr>
        <w:t>NPPF paragraph 18</w:t>
      </w:r>
      <w:r>
        <w:rPr>
          <w:rFonts w:ascii="Arial" w:eastAsia="Arial" w:hAnsi="Arial" w:cs="Arial"/>
          <w:sz w:val="22"/>
          <w:szCs w:val="22"/>
        </w:rPr>
        <w:t>7</w:t>
      </w:r>
      <w:r>
        <w:rPr>
          <w:rFonts w:ascii="Arial" w:eastAsia="Arial" w:hAnsi="Arial" w:cs="Arial"/>
          <w:sz w:val="22"/>
          <w:szCs w:val="22"/>
        </w:rPr>
        <w:t>(b) states that planning decisions should contribute to and enhance the natural and local environment by recognising the intrinsic character and beauty of the countryside. The conversion of productive agricultural land to suburban development on the fringe of a National Landscape sits in direct conflict with this aim and with wider government ambitions for food production resilience and land stewardship.</w:t>
      </w:r>
    </w:p>
    <w:p w14:paraId="66F76691" w14:textId="5160D25C" w:rsidR="001E10CE" w:rsidRPr="001E10CE" w:rsidRDefault="001E10CE" w:rsidP="001E10CE">
      <w:pPr>
        <w:pStyle w:val="ListParagraph"/>
        <w:jc w:val="both"/>
      </w:pPr>
    </w:p>
    <w:p w14:paraId="70BA0FB5" w14:textId="77777777" w:rsidR="00F10854" w:rsidRDefault="007E1865" w:rsidP="00F10854">
      <w:pPr>
        <w:pStyle w:val="ListParagraph"/>
        <w:numPr>
          <w:ilvl w:val="0"/>
          <w:numId w:val="1"/>
        </w:numPr>
        <w:jc w:val="both"/>
        <w:rPr>
          <w:b/>
          <w:bCs/>
        </w:rPr>
      </w:pPr>
      <w:r>
        <w:rPr>
          <w:b/>
          <w:bCs/>
        </w:rPr>
        <w:t xml:space="preserve">Integrity of the Application and Scope of Future Development </w:t>
      </w:r>
    </w:p>
    <w:p w14:paraId="2BA3B9B7" w14:textId="77777777" w:rsidR="00F10854" w:rsidRDefault="001E10CE" w:rsidP="00F10854">
      <w:pPr>
        <w:pStyle w:val="ListParagraph"/>
        <w:jc w:val="both"/>
        <w:rPr>
          <w:rFonts w:ascii="Arial" w:eastAsia="Arial" w:hAnsi="Arial" w:cs="Arial"/>
          <w:sz w:val="22"/>
          <w:szCs w:val="22"/>
        </w:rPr>
      </w:pPr>
      <w:r>
        <w:t xml:space="preserve">The red-line boundary of the application occupies only part of the developer’s wider landholding, the fully extent of which is shown in the blue -line boundary on the </w:t>
      </w:r>
      <w:r w:rsidR="00F10854">
        <w:t xml:space="preserve">boundary. </w:t>
      </w:r>
      <w:r w:rsidR="00F10854" w:rsidRPr="00F10854">
        <w:rPr>
          <w:rFonts w:ascii="Arial" w:eastAsia="Arial" w:hAnsi="Arial" w:cs="Arial"/>
          <w:sz w:val="22"/>
          <w:szCs w:val="22"/>
        </w:rPr>
        <w:t>No guarantee is offered</w:t>
      </w:r>
      <w:r w:rsidR="00F10854" w:rsidRPr="00F10854">
        <w:rPr>
          <w:rFonts w:ascii="Arial" w:eastAsia="Arial" w:hAnsi="Arial" w:cs="Arial"/>
          <w:sz w:val="22"/>
          <w:szCs w:val="22"/>
        </w:rPr>
        <w:t xml:space="preserve">, </w:t>
      </w:r>
      <w:r w:rsidR="00F10854" w:rsidRPr="00F10854">
        <w:rPr>
          <w:rFonts w:ascii="Arial" w:eastAsia="Arial" w:hAnsi="Arial" w:cs="Arial"/>
          <w:sz w:val="22"/>
          <w:szCs w:val="22"/>
        </w:rPr>
        <w:t>nor could it be</w:t>
      </w:r>
      <w:r w:rsidR="00F10854" w:rsidRPr="00F10854">
        <w:rPr>
          <w:rFonts w:ascii="Arial" w:eastAsia="Arial" w:hAnsi="Arial" w:cs="Arial"/>
          <w:sz w:val="22"/>
          <w:szCs w:val="22"/>
        </w:rPr>
        <w:t xml:space="preserve">, </w:t>
      </w:r>
      <w:r w:rsidR="00F10854" w:rsidRPr="00F10854">
        <w:rPr>
          <w:rFonts w:ascii="Arial" w:eastAsia="Arial" w:hAnsi="Arial" w:cs="Arial"/>
          <w:sz w:val="22"/>
          <w:szCs w:val="22"/>
        </w:rPr>
        <w:t>that this application represents the limit of the developer’s ambitions on this site. The open spur at the north-west corner of the Masterplan, which is explicitly described as a potential connection to a future Stafford Eastern Development Relief Road, provides a convenient mechanism for linking future extensions of built development to the highway network. This raises serious concerns about the incremental expansion of the urban area into the National Landscape setting and the fringe of Cannock Chase.</w:t>
      </w:r>
    </w:p>
    <w:p w14:paraId="1C9BF1D6" w14:textId="77777777" w:rsidR="00F10854" w:rsidRDefault="00F10854" w:rsidP="00F10854">
      <w:pPr>
        <w:pStyle w:val="ListParagraph"/>
        <w:jc w:val="both"/>
        <w:rPr>
          <w:rFonts w:ascii="Arial" w:eastAsia="Arial" w:hAnsi="Arial" w:cs="Arial"/>
          <w:sz w:val="22"/>
          <w:szCs w:val="22"/>
        </w:rPr>
      </w:pPr>
    </w:p>
    <w:p w14:paraId="7ECFBC88" w14:textId="4318770C" w:rsidR="00F10854" w:rsidRPr="00F10854" w:rsidRDefault="00F10854" w:rsidP="00F10854">
      <w:pPr>
        <w:pStyle w:val="ListParagraph"/>
        <w:jc w:val="both"/>
        <w:rPr>
          <w:b/>
          <w:bCs/>
        </w:rPr>
      </w:pPr>
      <w:r>
        <w:rPr>
          <w:rFonts w:ascii="Arial" w:eastAsia="Arial" w:hAnsi="Arial" w:cs="Arial"/>
          <w:sz w:val="22"/>
          <w:szCs w:val="22"/>
        </w:rPr>
        <w:t>In the absence of an up-to-date Local Plan providing a comprehensive framework within which to assess this proposal and its cumulative impacts, there is a real and present risk that approval of this application would open the door to further unplanned development in this sensitive location.</w:t>
      </w:r>
    </w:p>
    <w:p w14:paraId="34C16FF2" w14:textId="0280AF7C" w:rsidR="001E10CE" w:rsidRPr="001E10CE" w:rsidRDefault="001E10CE" w:rsidP="00F10854">
      <w:pPr>
        <w:pStyle w:val="ListParagraph"/>
        <w:jc w:val="both"/>
      </w:pPr>
    </w:p>
    <w:p w14:paraId="62DFB887" w14:textId="77777777" w:rsidR="00F10854" w:rsidRDefault="007E1865" w:rsidP="00F10854">
      <w:pPr>
        <w:pStyle w:val="ListParagraph"/>
        <w:numPr>
          <w:ilvl w:val="0"/>
          <w:numId w:val="1"/>
        </w:numPr>
        <w:jc w:val="both"/>
        <w:rPr>
          <w:b/>
          <w:bCs/>
        </w:rPr>
      </w:pPr>
      <w:r>
        <w:rPr>
          <w:b/>
          <w:bCs/>
        </w:rPr>
        <w:t xml:space="preserve">Conclusion </w:t>
      </w:r>
    </w:p>
    <w:p w14:paraId="63BE4287" w14:textId="77777777" w:rsidR="00F10854" w:rsidRDefault="00F10854" w:rsidP="00F10854">
      <w:pPr>
        <w:pStyle w:val="ListParagraph"/>
        <w:jc w:val="both"/>
        <w:rPr>
          <w:rFonts w:ascii="Arial" w:eastAsia="Arial" w:hAnsi="Arial" w:cs="Arial"/>
          <w:sz w:val="22"/>
          <w:szCs w:val="22"/>
        </w:rPr>
      </w:pPr>
      <w:r>
        <w:t xml:space="preserve">In conclusion, this proposal presents a combination of significant and unresolved harms that cannot be justified in this sensitive location </w:t>
      </w:r>
      <w:r w:rsidRPr="00F10854">
        <w:rPr>
          <w:rFonts w:ascii="Arial" w:eastAsia="Arial" w:hAnsi="Arial" w:cs="Arial"/>
          <w:sz w:val="22"/>
          <w:szCs w:val="22"/>
        </w:rPr>
        <w:t>on the fringe of the Cannock Chase National Landscape. The development is not policy compliant; it would harm the setting of a nationally designated landscape; it would generate highway safety risks that have not been adequately addressed; it would impose unacceptable burdens on local schools, health services and infrastructure that are already at or above capacity; and it would have harmful and insufficiently mitigated impacts on ecology, biodiversity and the natural environment.</w:t>
      </w:r>
    </w:p>
    <w:p w14:paraId="18DC82E2" w14:textId="77777777" w:rsidR="00F10854" w:rsidRDefault="00F10854" w:rsidP="00F10854">
      <w:pPr>
        <w:pStyle w:val="ListParagraph"/>
        <w:jc w:val="both"/>
        <w:rPr>
          <w:rFonts w:ascii="Arial" w:eastAsia="Arial" w:hAnsi="Arial" w:cs="Arial"/>
          <w:sz w:val="22"/>
          <w:szCs w:val="22"/>
        </w:rPr>
      </w:pPr>
    </w:p>
    <w:p w14:paraId="6783EC98" w14:textId="3C10C853" w:rsidR="00F10854" w:rsidRPr="00F10854" w:rsidRDefault="00F10854" w:rsidP="00F10854">
      <w:pPr>
        <w:pStyle w:val="ListParagraph"/>
        <w:jc w:val="both"/>
        <w:rPr>
          <w:b/>
          <w:bCs/>
        </w:rPr>
      </w:pPr>
      <w:r>
        <w:rPr>
          <w:rFonts w:ascii="Arial" w:eastAsia="Arial" w:hAnsi="Arial" w:cs="Arial"/>
          <w:sz w:val="22"/>
          <w:szCs w:val="22"/>
        </w:rPr>
        <w:t>The applicant has not demonstrated as required by the NPPF</w:t>
      </w:r>
      <w:r>
        <w:rPr>
          <w:rFonts w:ascii="Arial" w:eastAsia="Arial" w:hAnsi="Arial" w:cs="Arial"/>
          <w:sz w:val="22"/>
          <w:szCs w:val="22"/>
        </w:rPr>
        <w:t xml:space="preserve"> </w:t>
      </w:r>
      <w:r>
        <w:rPr>
          <w:rFonts w:ascii="Arial" w:eastAsia="Arial" w:hAnsi="Arial" w:cs="Arial"/>
          <w:sz w:val="22"/>
          <w:szCs w:val="22"/>
        </w:rPr>
        <w:t>that any public benefits arising from the delivery of new housing units would clearly outweigh the significant harms that would accrue. The development is not sustainable in any meaningful sense, and the presumption in favour of sustainable development at NPPF paragraph 11 does not apply given the direct conflict with specific restrictive policies, including those protecting the National Landscape.</w:t>
      </w:r>
    </w:p>
    <w:p w14:paraId="4B187B8E" w14:textId="77777777" w:rsidR="00F10854" w:rsidRDefault="00F10854" w:rsidP="00F10854">
      <w:pPr>
        <w:spacing w:after="240"/>
      </w:pPr>
      <w:r>
        <w:rPr>
          <w:rFonts w:ascii="Arial" w:eastAsia="Arial" w:hAnsi="Arial" w:cs="Arial"/>
          <w:b/>
          <w:bCs/>
          <w:sz w:val="22"/>
          <w:szCs w:val="22"/>
        </w:rPr>
        <w:lastRenderedPageBreak/>
        <w:t>For all of these reasons, we respectfully but firmly urge Stafford Borough Council to refuse planning application 25/41179/OUT in its entirety.</w:t>
      </w:r>
    </w:p>
    <w:p w14:paraId="18BCB201" w14:textId="0548C57D" w:rsidR="00F10854" w:rsidRPr="00F10854" w:rsidRDefault="00F10854" w:rsidP="00F10854">
      <w:pPr>
        <w:pStyle w:val="ListParagraph"/>
        <w:jc w:val="both"/>
      </w:pPr>
    </w:p>
    <w:sectPr w:rsidR="00F10854" w:rsidRPr="00F10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7263"/>
    <w:multiLevelType w:val="hybridMultilevel"/>
    <w:tmpl w:val="145A1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C245FA"/>
    <w:multiLevelType w:val="hybridMultilevel"/>
    <w:tmpl w:val="C31EDA1A"/>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267EA4"/>
    <w:multiLevelType w:val="hybridMultilevel"/>
    <w:tmpl w:val="5EF44F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3A846E7"/>
    <w:multiLevelType w:val="hybridMultilevel"/>
    <w:tmpl w:val="979A912C"/>
    <w:lvl w:ilvl="0" w:tplc="AC9E96FE">
      <w:start w:val="1"/>
      <w:numFmt w:val="bullet"/>
      <w:lvlText w:val="•"/>
      <w:lvlJc w:val="left"/>
      <w:pPr>
        <w:spacing w:after="80"/>
        <w:ind w:left="720" w:hanging="360"/>
      </w:pPr>
    </w:lvl>
    <w:lvl w:ilvl="1" w:tplc="1ED65A94">
      <w:numFmt w:val="decimal"/>
      <w:lvlText w:val=""/>
      <w:lvlJc w:val="left"/>
    </w:lvl>
    <w:lvl w:ilvl="2" w:tplc="4A2AA76A">
      <w:numFmt w:val="decimal"/>
      <w:lvlText w:val=""/>
      <w:lvlJc w:val="left"/>
    </w:lvl>
    <w:lvl w:ilvl="3" w:tplc="2E92E508">
      <w:numFmt w:val="decimal"/>
      <w:lvlText w:val=""/>
      <w:lvlJc w:val="left"/>
    </w:lvl>
    <w:lvl w:ilvl="4" w:tplc="017650B0">
      <w:numFmt w:val="decimal"/>
      <w:lvlText w:val=""/>
      <w:lvlJc w:val="left"/>
    </w:lvl>
    <w:lvl w:ilvl="5" w:tplc="07FCA220">
      <w:numFmt w:val="decimal"/>
      <w:lvlText w:val=""/>
      <w:lvlJc w:val="left"/>
    </w:lvl>
    <w:lvl w:ilvl="6" w:tplc="53E4B17E">
      <w:numFmt w:val="decimal"/>
      <w:lvlText w:val=""/>
      <w:lvlJc w:val="left"/>
    </w:lvl>
    <w:lvl w:ilvl="7" w:tplc="CB04032A">
      <w:numFmt w:val="decimal"/>
      <w:lvlText w:val=""/>
      <w:lvlJc w:val="left"/>
    </w:lvl>
    <w:lvl w:ilvl="8" w:tplc="BB064E8E">
      <w:numFmt w:val="decimal"/>
      <w:lvlText w:val=""/>
      <w:lvlJc w:val="left"/>
    </w:lvl>
  </w:abstractNum>
  <w:abstractNum w:abstractNumId="4" w15:restartNumberingAfterBreak="0">
    <w:nsid w:val="4F082C8D"/>
    <w:multiLevelType w:val="hybridMultilevel"/>
    <w:tmpl w:val="A7F01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2CC39C9"/>
    <w:multiLevelType w:val="hybridMultilevel"/>
    <w:tmpl w:val="591E6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7342">
    <w:abstractNumId w:val="5"/>
  </w:num>
  <w:num w:numId="2" w16cid:durableId="132522534">
    <w:abstractNumId w:val="3"/>
    <w:lvlOverride w:ilvl="0">
      <w:startOverride w:val="1"/>
    </w:lvlOverride>
  </w:num>
  <w:num w:numId="3" w16cid:durableId="1490949312">
    <w:abstractNumId w:val="2"/>
  </w:num>
  <w:num w:numId="4" w16cid:durableId="91359410">
    <w:abstractNumId w:val="4"/>
  </w:num>
  <w:num w:numId="5" w16cid:durableId="1655136234">
    <w:abstractNumId w:val="1"/>
  </w:num>
  <w:num w:numId="6" w16cid:durableId="103581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5B"/>
    <w:rsid w:val="000F71E8"/>
    <w:rsid w:val="00140B38"/>
    <w:rsid w:val="00145C50"/>
    <w:rsid w:val="001E10CE"/>
    <w:rsid w:val="001F0491"/>
    <w:rsid w:val="00345F56"/>
    <w:rsid w:val="004F617D"/>
    <w:rsid w:val="007E1865"/>
    <w:rsid w:val="00821A68"/>
    <w:rsid w:val="009806B1"/>
    <w:rsid w:val="00AB2771"/>
    <w:rsid w:val="00DE318C"/>
    <w:rsid w:val="00EB1B5B"/>
    <w:rsid w:val="00F1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DBD988"/>
  <w15:chartTrackingRefBased/>
  <w15:docId w15:val="{65E63796-722B-F448-A824-43039162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B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B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B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B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B5B"/>
    <w:rPr>
      <w:rFonts w:eastAsiaTheme="majorEastAsia" w:cstheme="majorBidi"/>
      <w:color w:val="272727" w:themeColor="text1" w:themeTint="D8"/>
    </w:rPr>
  </w:style>
  <w:style w:type="paragraph" w:styleId="Title">
    <w:name w:val="Title"/>
    <w:basedOn w:val="Normal"/>
    <w:next w:val="Normal"/>
    <w:link w:val="TitleChar"/>
    <w:uiPriority w:val="10"/>
    <w:qFormat/>
    <w:rsid w:val="00EB1B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B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B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1B5B"/>
    <w:rPr>
      <w:i/>
      <w:iCs/>
      <w:color w:val="404040" w:themeColor="text1" w:themeTint="BF"/>
    </w:rPr>
  </w:style>
  <w:style w:type="paragraph" w:styleId="ListParagraph">
    <w:name w:val="List Paragraph"/>
    <w:basedOn w:val="Normal"/>
    <w:qFormat/>
    <w:rsid w:val="00EB1B5B"/>
    <w:pPr>
      <w:ind w:left="720"/>
      <w:contextualSpacing/>
    </w:pPr>
  </w:style>
  <w:style w:type="character" w:styleId="IntenseEmphasis">
    <w:name w:val="Intense Emphasis"/>
    <w:basedOn w:val="DefaultParagraphFont"/>
    <w:uiPriority w:val="21"/>
    <w:qFormat/>
    <w:rsid w:val="00EB1B5B"/>
    <w:rPr>
      <w:i/>
      <w:iCs/>
      <w:color w:val="0F4761" w:themeColor="accent1" w:themeShade="BF"/>
    </w:rPr>
  </w:style>
  <w:style w:type="paragraph" w:styleId="IntenseQuote">
    <w:name w:val="Intense Quote"/>
    <w:basedOn w:val="Normal"/>
    <w:next w:val="Normal"/>
    <w:link w:val="IntenseQuoteChar"/>
    <w:uiPriority w:val="30"/>
    <w:qFormat/>
    <w:rsid w:val="00EB1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B5B"/>
    <w:rPr>
      <w:i/>
      <w:iCs/>
      <w:color w:val="0F4761" w:themeColor="accent1" w:themeShade="BF"/>
    </w:rPr>
  </w:style>
  <w:style w:type="character" w:styleId="IntenseReference">
    <w:name w:val="Intense Reference"/>
    <w:basedOn w:val="DefaultParagraphFont"/>
    <w:uiPriority w:val="32"/>
    <w:qFormat/>
    <w:rsid w:val="00EB1B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Kudzai Chivenga</dc:creator>
  <cp:keywords/>
  <dc:description/>
  <cp:lastModifiedBy>Kudzai Chivenga</cp:lastModifiedBy>
  <cp:revision>1</cp:revision>
  <dcterms:created xsi:type="dcterms:W3CDTF">2026-02-27T15:41:00Z</dcterms:created>
  <dcterms:modified xsi:type="dcterms:W3CDTF">2026-02-27T16:50:00Z</dcterms:modified>
</cp:coreProperties>
</file>