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F9B1D" w14:textId="77777777" w:rsidR="00885B4F" w:rsidRDefault="00885B4F" w:rsidP="00885B4F">
      <w:pPr>
        <w:jc w:val="both"/>
        <w:rPr>
          <w:rStyle w:val="address"/>
          <w:rFonts w:ascii="DM Sans" w:hAnsi="DM Sans"/>
          <w:color w:val="000000"/>
        </w:rPr>
      </w:pPr>
    </w:p>
    <w:p w14:paraId="5FC55AFC" w14:textId="0F338515" w:rsidR="00885B4F" w:rsidRDefault="00885B4F" w:rsidP="00885B4F">
      <w:pPr>
        <w:jc w:val="both"/>
        <w:rPr>
          <w:rFonts w:ascii="Tahoma" w:hAnsi="Tahoma" w:cs="Tahoma"/>
          <w:color w:val="000000"/>
          <w:shd w:val="clear" w:color="auto" w:fill="FFFFFF"/>
        </w:rPr>
      </w:pPr>
      <w:r>
        <w:rPr>
          <w:b/>
          <w:bCs/>
        </w:rPr>
        <w:t xml:space="preserve">Formal objection to planning application </w:t>
      </w:r>
      <w:r w:rsidRPr="0078564E">
        <w:rPr>
          <w:rFonts w:ascii="Tahoma" w:hAnsi="Tahoma" w:cs="Tahoma"/>
          <w:b/>
          <w:bCs/>
          <w:color w:val="000000"/>
          <w:shd w:val="clear" w:color="auto" w:fill="FFFFFF"/>
        </w:rPr>
        <w:t>25/40683/OUT</w:t>
      </w:r>
      <w:r>
        <w:rPr>
          <w:rFonts w:ascii="Tahoma" w:hAnsi="Tahoma" w:cs="Tahoma"/>
          <w:b/>
          <w:bCs/>
          <w:color w:val="000000"/>
          <w:shd w:val="clear" w:color="auto" w:fill="FFFFFF"/>
        </w:rPr>
        <w:t xml:space="preserve"> </w:t>
      </w:r>
      <w:r>
        <w:rPr>
          <w:rFonts w:ascii="Tahoma" w:hAnsi="Tahoma" w:cs="Tahoma"/>
          <w:color w:val="000000"/>
          <w:shd w:val="clear" w:color="auto" w:fill="FFFFFF"/>
        </w:rPr>
        <w:t>Outline planning application for up to 100 dwellings, open space and associated infrastructure (all matters reserved except for means of access), Land Off Dickys Lane, Woodseaves.</w:t>
      </w:r>
    </w:p>
    <w:p w14:paraId="3AAED244" w14:textId="77777777" w:rsidR="00885B4F" w:rsidRDefault="00885B4F" w:rsidP="00885B4F">
      <w:pPr>
        <w:jc w:val="both"/>
        <w:rPr>
          <w:rStyle w:val="address"/>
          <w:rFonts w:ascii="DM Sans" w:hAnsi="DM Sans"/>
          <w:color w:val="000000"/>
        </w:rPr>
      </w:pPr>
    </w:p>
    <w:p w14:paraId="4C0B9B78" w14:textId="77777777" w:rsidR="00885B4F" w:rsidRDefault="00885B4F" w:rsidP="00885B4F">
      <w:pPr>
        <w:jc w:val="both"/>
        <w:rPr>
          <w:rStyle w:val="address"/>
          <w:rFonts w:ascii="DM Sans" w:hAnsi="DM Sans"/>
          <w:color w:val="000000"/>
        </w:rPr>
      </w:pPr>
    </w:p>
    <w:p w14:paraId="745826FA" w14:textId="77777777" w:rsidR="00885B4F" w:rsidRDefault="00885B4F" w:rsidP="00885B4F">
      <w:pPr>
        <w:jc w:val="both"/>
        <w:rPr>
          <w:rStyle w:val="address"/>
          <w:rFonts w:ascii="DM Sans" w:hAnsi="DM Sans"/>
          <w:b/>
          <w:bCs/>
          <w:color w:val="000000"/>
        </w:rPr>
      </w:pPr>
      <w:r>
        <w:rPr>
          <w:rStyle w:val="address"/>
          <w:rFonts w:ascii="DM Sans" w:hAnsi="DM Sans"/>
          <w:b/>
          <w:bCs/>
          <w:color w:val="000000"/>
        </w:rPr>
        <w:t xml:space="preserve">Introduction </w:t>
      </w:r>
    </w:p>
    <w:p w14:paraId="74DC4399" w14:textId="77777777" w:rsidR="00885B4F" w:rsidRDefault="00885B4F" w:rsidP="00885B4F">
      <w:pPr>
        <w:jc w:val="both"/>
        <w:rPr>
          <w:rStyle w:val="address"/>
          <w:rFonts w:ascii="DM Sans" w:hAnsi="DM Sans"/>
          <w:b/>
          <w:bCs/>
          <w:color w:val="000000"/>
        </w:rPr>
      </w:pPr>
    </w:p>
    <w:p w14:paraId="5A68F46F" w14:textId="2236E68E" w:rsidR="00345F56" w:rsidRDefault="00885B4F" w:rsidP="00885B4F">
      <w:pPr>
        <w:jc w:val="both"/>
        <w:rPr>
          <w:rStyle w:val="address"/>
          <w:rFonts w:ascii="DM Sans" w:hAnsi="DM Sans"/>
          <w:color w:val="000000"/>
        </w:rPr>
      </w:pPr>
      <w:r>
        <w:rPr>
          <w:rStyle w:val="address"/>
          <w:rFonts w:ascii="DM Sans" w:hAnsi="DM Sans"/>
          <w:color w:val="000000"/>
        </w:rPr>
        <w:t xml:space="preserve">This objection is submitted on behalf of CPRE regarding the above application. The proposed development would introduce up to 100 dwellings on greenfield land beyond the existing boundary of Woodseaves, in open countryside. This represents a major and disproportionate expansion of the village into rural land. </w:t>
      </w:r>
    </w:p>
    <w:p w14:paraId="01751246" w14:textId="77777777" w:rsidR="00885B4F" w:rsidRDefault="00885B4F" w:rsidP="00885B4F">
      <w:pPr>
        <w:jc w:val="both"/>
        <w:rPr>
          <w:rStyle w:val="address"/>
          <w:rFonts w:ascii="DM Sans" w:hAnsi="DM Sans"/>
          <w:color w:val="000000"/>
        </w:rPr>
      </w:pPr>
    </w:p>
    <w:p w14:paraId="621428EE" w14:textId="1577E6BC" w:rsidR="00885B4F" w:rsidRDefault="00885B4F" w:rsidP="00885B4F">
      <w:pPr>
        <w:jc w:val="both"/>
        <w:rPr>
          <w:rStyle w:val="address"/>
          <w:rFonts w:ascii="DM Sans" w:hAnsi="DM Sans"/>
          <w:color w:val="000000"/>
        </w:rPr>
      </w:pPr>
      <w:r>
        <w:rPr>
          <w:rStyle w:val="address"/>
          <w:rFonts w:ascii="DM Sans" w:hAnsi="DM Sans"/>
          <w:color w:val="000000"/>
        </w:rPr>
        <w:t>We respectfully submit that this application fails to satisfy the requirements of the National Planning Policy Framework (NPPF), contradicts key polies within the  Stafford Borough Local Plan Strategy, and ha</w:t>
      </w:r>
      <w:r w:rsidR="00417176">
        <w:rPr>
          <w:rStyle w:val="address"/>
          <w:rFonts w:ascii="DM Sans" w:hAnsi="DM Sans"/>
          <w:color w:val="000000"/>
        </w:rPr>
        <w:t xml:space="preserve">s </w:t>
      </w:r>
      <w:r>
        <w:rPr>
          <w:rStyle w:val="address"/>
          <w:rFonts w:ascii="DM Sans" w:hAnsi="DM Sans"/>
          <w:color w:val="000000"/>
        </w:rPr>
        <w:t xml:space="preserve">not been supported by adequate evidence demonstrating local housing need. The development would cause significant harm to the rural character of Woodseaves, place unacceptable strain on local infrastructure, and poses risks to protected environmental sites and species. </w:t>
      </w:r>
    </w:p>
    <w:p w14:paraId="7850DD95" w14:textId="77777777" w:rsidR="00310FEC" w:rsidRDefault="00310FEC" w:rsidP="00885B4F">
      <w:pPr>
        <w:jc w:val="both"/>
        <w:rPr>
          <w:rStyle w:val="address"/>
          <w:rFonts w:ascii="DM Sans" w:hAnsi="DM Sans"/>
          <w:color w:val="000000"/>
        </w:rPr>
      </w:pPr>
    </w:p>
    <w:p w14:paraId="44AB8501" w14:textId="20AB0A44" w:rsidR="00310FEC" w:rsidRDefault="00310FEC" w:rsidP="00885B4F">
      <w:pPr>
        <w:jc w:val="both"/>
        <w:rPr>
          <w:rStyle w:val="address"/>
          <w:rFonts w:ascii="DM Sans" w:hAnsi="DM Sans"/>
          <w:b/>
          <w:bCs/>
          <w:color w:val="000000"/>
        </w:rPr>
      </w:pPr>
      <w:r>
        <w:rPr>
          <w:rStyle w:val="address"/>
          <w:rFonts w:ascii="DM Sans" w:hAnsi="DM Sans"/>
          <w:b/>
          <w:bCs/>
          <w:color w:val="000000"/>
        </w:rPr>
        <w:t xml:space="preserve">Ground for Objection </w:t>
      </w:r>
    </w:p>
    <w:p w14:paraId="3DC38389" w14:textId="77777777" w:rsidR="00310FEC" w:rsidRDefault="00310FEC" w:rsidP="00885B4F">
      <w:pPr>
        <w:jc w:val="both"/>
        <w:rPr>
          <w:rStyle w:val="address"/>
          <w:rFonts w:ascii="DM Sans" w:hAnsi="DM Sans"/>
          <w:b/>
          <w:bCs/>
          <w:color w:val="000000"/>
        </w:rPr>
      </w:pPr>
    </w:p>
    <w:p w14:paraId="56105D8A" w14:textId="6B17CF29" w:rsidR="00310FEC" w:rsidRDefault="00310FEC" w:rsidP="00310FEC">
      <w:pPr>
        <w:pStyle w:val="ListParagraph"/>
        <w:numPr>
          <w:ilvl w:val="0"/>
          <w:numId w:val="1"/>
        </w:numPr>
        <w:jc w:val="both"/>
        <w:rPr>
          <w:b/>
          <w:bCs/>
        </w:rPr>
      </w:pPr>
      <w:r>
        <w:rPr>
          <w:b/>
          <w:bCs/>
        </w:rPr>
        <w:t xml:space="preserve">Absence of Housing Needs Survey and Evidence-Led Planning </w:t>
      </w:r>
    </w:p>
    <w:p w14:paraId="60360937" w14:textId="4F5F3630" w:rsidR="00310FEC" w:rsidRDefault="00310FEC" w:rsidP="00310FEC">
      <w:pPr>
        <w:pStyle w:val="ListParagraph"/>
        <w:jc w:val="both"/>
      </w:pPr>
      <w:r>
        <w:t>The Rural Housing Enabler has confirmed in writing that no Housing Needs Survey has ever been undertaken for Woodseaves. As a result:</w:t>
      </w:r>
    </w:p>
    <w:p w14:paraId="70DC5063" w14:textId="3E786625" w:rsidR="00310FEC" w:rsidRDefault="00310FEC" w:rsidP="00310FEC">
      <w:pPr>
        <w:pStyle w:val="ListParagraph"/>
        <w:numPr>
          <w:ilvl w:val="0"/>
          <w:numId w:val="2"/>
        </w:numPr>
        <w:jc w:val="both"/>
      </w:pPr>
      <w:r>
        <w:t>There is no evidence establishing the level of local housing need (if any).</w:t>
      </w:r>
    </w:p>
    <w:p w14:paraId="34CB6C24" w14:textId="1BD0FB67" w:rsidR="00310FEC" w:rsidRDefault="00310FEC" w:rsidP="00310FEC">
      <w:pPr>
        <w:pStyle w:val="ListParagraph"/>
        <w:numPr>
          <w:ilvl w:val="0"/>
          <w:numId w:val="2"/>
        </w:numPr>
        <w:jc w:val="both"/>
      </w:pPr>
      <w:r>
        <w:t xml:space="preserve">No justification exists for the scale, type, or number of homes proposed. </w:t>
      </w:r>
    </w:p>
    <w:p w14:paraId="0D62CF64" w14:textId="49843123" w:rsidR="00310FEC" w:rsidRDefault="00310FEC" w:rsidP="00417176">
      <w:pPr>
        <w:pStyle w:val="ListParagraph"/>
        <w:numPr>
          <w:ilvl w:val="0"/>
          <w:numId w:val="2"/>
        </w:numPr>
        <w:jc w:val="both"/>
      </w:pPr>
      <w:r>
        <w:t xml:space="preserve">No basis to conclude that the proposals respond to local need rather than borough-wide supply pressures. </w:t>
      </w:r>
    </w:p>
    <w:p w14:paraId="216B1B11" w14:textId="34A7332B" w:rsidR="00310FEC" w:rsidRDefault="00310FEC" w:rsidP="00310FEC">
      <w:pPr>
        <w:pStyle w:val="ListParagraph"/>
        <w:jc w:val="both"/>
      </w:pPr>
      <w:r>
        <w:t>This absence of evidence is particularly significant given the scale of the proposals. The Rural Housing Enabler has also confirmed that a Housing Needs Survey could be facilitated for Woodseaves (subject to Parish Council involvement), yet none of the current applications are being promoted as rural exception sites, affordable-led schemes, or community-led housing.</w:t>
      </w:r>
    </w:p>
    <w:p w14:paraId="116431D6" w14:textId="77777777" w:rsidR="00310FEC" w:rsidRDefault="00310FEC" w:rsidP="00310FEC">
      <w:pPr>
        <w:pStyle w:val="ListParagraph"/>
        <w:jc w:val="both"/>
      </w:pPr>
    </w:p>
    <w:p w14:paraId="788FF400" w14:textId="4C57E16E" w:rsidR="00310FEC" w:rsidRDefault="00310FEC" w:rsidP="00310FEC">
      <w:pPr>
        <w:pStyle w:val="ListParagraph"/>
        <w:jc w:val="both"/>
      </w:pPr>
      <w:r>
        <w:t>This demonstrates that an established, evidence-led rural housing mechanism exists but has not been pursued prior to the submission and validation of these speculative proposals. This is contrary to:</w:t>
      </w:r>
    </w:p>
    <w:p w14:paraId="001B1952" w14:textId="71840991" w:rsidR="00310FEC" w:rsidRPr="00310FEC" w:rsidRDefault="00310FEC" w:rsidP="00310FEC">
      <w:pPr>
        <w:pStyle w:val="ListParagraph"/>
        <w:numPr>
          <w:ilvl w:val="0"/>
          <w:numId w:val="3"/>
        </w:numPr>
        <w:jc w:val="both"/>
      </w:pPr>
      <w:r>
        <w:rPr>
          <w:b/>
          <w:bCs/>
        </w:rPr>
        <w:t xml:space="preserve">NPPF Paragraph 73 –  </w:t>
      </w:r>
      <w:r>
        <w:t>which requires that planning policies identify and meet local housing needs.</w:t>
      </w:r>
    </w:p>
    <w:p w14:paraId="2BBC597E" w14:textId="5EB34C85" w:rsidR="00310FEC" w:rsidRPr="00310FEC" w:rsidRDefault="00310FEC" w:rsidP="00310FEC">
      <w:pPr>
        <w:pStyle w:val="ListParagraph"/>
        <w:numPr>
          <w:ilvl w:val="0"/>
          <w:numId w:val="3"/>
        </w:numPr>
        <w:jc w:val="both"/>
      </w:pPr>
      <w:r>
        <w:rPr>
          <w:b/>
          <w:bCs/>
        </w:rPr>
        <w:t xml:space="preserve">NPPF Paragraph 83 – </w:t>
      </w:r>
      <w:r>
        <w:t xml:space="preserve">promoting sustainable development in rural areas where housing enhances or maintains the vitality of rural communities. </w:t>
      </w:r>
    </w:p>
    <w:p w14:paraId="3EB9A251" w14:textId="384E97F0" w:rsidR="00310FEC" w:rsidRDefault="00310FEC" w:rsidP="00310FEC">
      <w:pPr>
        <w:pStyle w:val="ListParagraph"/>
        <w:numPr>
          <w:ilvl w:val="0"/>
          <w:numId w:val="3"/>
        </w:numPr>
        <w:jc w:val="both"/>
      </w:pPr>
      <w:r>
        <w:rPr>
          <w:b/>
          <w:bCs/>
        </w:rPr>
        <w:t xml:space="preserve">Stafford Borough Local Plan Strategy Policy SP3 – </w:t>
      </w:r>
      <w:r>
        <w:t xml:space="preserve">which requires development to be of an appropriate scale relative to settlement hierarchy. </w:t>
      </w:r>
    </w:p>
    <w:p w14:paraId="50C4251D" w14:textId="77777777" w:rsidR="00310FEC" w:rsidRPr="00310FEC" w:rsidRDefault="00310FEC" w:rsidP="00310FEC">
      <w:pPr>
        <w:pStyle w:val="ListParagraph"/>
        <w:jc w:val="both"/>
      </w:pPr>
    </w:p>
    <w:p w14:paraId="70D2DBA6" w14:textId="7B58B493" w:rsidR="00310FEC" w:rsidRDefault="00310FEC" w:rsidP="00310FEC">
      <w:pPr>
        <w:pStyle w:val="ListParagraph"/>
        <w:numPr>
          <w:ilvl w:val="0"/>
          <w:numId w:val="1"/>
        </w:numPr>
        <w:jc w:val="both"/>
        <w:rPr>
          <w:b/>
          <w:bCs/>
        </w:rPr>
      </w:pPr>
      <w:r>
        <w:rPr>
          <w:b/>
          <w:bCs/>
        </w:rPr>
        <w:t xml:space="preserve">Development Beyond Settlement Boundary in Open Countryside </w:t>
      </w:r>
    </w:p>
    <w:p w14:paraId="7BE9E2B2" w14:textId="4E7546EE" w:rsidR="00310FEC" w:rsidRDefault="00310FEC" w:rsidP="00417176">
      <w:pPr>
        <w:pStyle w:val="ListParagraph"/>
        <w:jc w:val="both"/>
      </w:pPr>
      <w:r>
        <w:t>The application site is a 5-hectare greenfield site lying beyond the existing settlement boundary of Woodseaves, in what is currently open countryside. The development would represent major incursion into rural and a disproportionate expansion of a small village.</w:t>
      </w:r>
    </w:p>
    <w:p w14:paraId="1AD285F6" w14:textId="77777777" w:rsidR="00417176" w:rsidRDefault="00417176" w:rsidP="00417176">
      <w:pPr>
        <w:pStyle w:val="ListParagraph"/>
        <w:jc w:val="both"/>
      </w:pPr>
    </w:p>
    <w:p w14:paraId="68101074" w14:textId="56ADEA37" w:rsidR="00310FEC" w:rsidRDefault="00310FEC" w:rsidP="00310FEC">
      <w:pPr>
        <w:pStyle w:val="ListParagraph"/>
        <w:jc w:val="both"/>
      </w:pPr>
      <w:r>
        <w:t>While reference has been made to the Borough’s five-year housing land supply position, this does not render settlement boundaries irrelevant or override requirements for:</w:t>
      </w:r>
    </w:p>
    <w:p w14:paraId="1DCD9C1E" w14:textId="057BC5E1" w:rsidR="00310FEC" w:rsidRDefault="00310FEC" w:rsidP="00310FEC">
      <w:pPr>
        <w:pStyle w:val="ListParagraph"/>
        <w:numPr>
          <w:ilvl w:val="0"/>
          <w:numId w:val="4"/>
        </w:numPr>
        <w:jc w:val="both"/>
      </w:pPr>
      <w:r>
        <w:t>Assessment against scale, sustainability, and settlement hierarchy.</w:t>
      </w:r>
    </w:p>
    <w:p w14:paraId="08C8D7C7" w14:textId="17E5A371" w:rsidR="00310FEC" w:rsidRDefault="00310FEC" w:rsidP="00310FEC">
      <w:pPr>
        <w:pStyle w:val="ListParagraph"/>
        <w:numPr>
          <w:ilvl w:val="0"/>
          <w:numId w:val="4"/>
        </w:numPr>
        <w:jc w:val="both"/>
      </w:pPr>
      <w:r>
        <w:t>Infrastructure capacity analysis.</w:t>
      </w:r>
    </w:p>
    <w:p w14:paraId="4380EE21" w14:textId="233E9E5E" w:rsidR="00310FEC" w:rsidRDefault="00310FEC" w:rsidP="00310FEC">
      <w:pPr>
        <w:pStyle w:val="ListParagraph"/>
        <w:numPr>
          <w:ilvl w:val="0"/>
          <w:numId w:val="4"/>
        </w:numPr>
        <w:jc w:val="both"/>
      </w:pPr>
      <w:r>
        <w:t>Character and cumulative impact assessment.</w:t>
      </w:r>
    </w:p>
    <w:p w14:paraId="7D3DA475" w14:textId="103EDB97" w:rsidR="00310FEC" w:rsidRDefault="00310FEC" w:rsidP="00417176">
      <w:pPr>
        <w:pStyle w:val="ListParagraph"/>
        <w:numPr>
          <w:ilvl w:val="0"/>
          <w:numId w:val="4"/>
        </w:numPr>
        <w:jc w:val="both"/>
      </w:pPr>
      <w:r>
        <w:t>Demonstrable evidence of need.</w:t>
      </w:r>
    </w:p>
    <w:p w14:paraId="4DC041D3" w14:textId="05116C52" w:rsidR="00310FEC" w:rsidRDefault="00310FEC" w:rsidP="00310FEC">
      <w:pPr>
        <w:pStyle w:val="ListParagraph"/>
        <w:jc w:val="both"/>
      </w:pPr>
      <w:r>
        <w:t xml:space="preserve">This development </w:t>
      </w:r>
      <w:r w:rsidRPr="00310FEC">
        <w:t>is</w:t>
      </w:r>
      <w:r>
        <w:t xml:space="preserve"> contrary to</w:t>
      </w:r>
    </w:p>
    <w:p w14:paraId="15CC2FBD" w14:textId="6F346399" w:rsidR="00310FEC" w:rsidRPr="00310FEC" w:rsidRDefault="00310FEC" w:rsidP="00310FEC">
      <w:pPr>
        <w:pStyle w:val="ListParagraph"/>
        <w:numPr>
          <w:ilvl w:val="0"/>
          <w:numId w:val="6"/>
        </w:numPr>
        <w:jc w:val="both"/>
      </w:pPr>
      <w:r>
        <w:rPr>
          <w:b/>
          <w:bCs/>
        </w:rPr>
        <w:t xml:space="preserve">NPPF paragraph 180 – </w:t>
      </w:r>
      <w:r>
        <w:t>recognising the intrinsic character and beauty of the countryside.</w:t>
      </w:r>
    </w:p>
    <w:p w14:paraId="657DFE3B" w14:textId="5D55862F" w:rsidR="00310FEC" w:rsidRPr="00310FEC" w:rsidRDefault="00310FEC" w:rsidP="00310FEC">
      <w:pPr>
        <w:pStyle w:val="ListParagraph"/>
        <w:numPr>
          <w:ilvl w:val="0"/>
          <w:numId w:val="6"/>
        </w:numPr>
        <w:jc w:val="both"/>
      </w:pPr>
      <w:r>
        <w:rPr>
          <w:b/>
          <w:bCs/>
        </w:rPr>
        <w:t xml:space="preserve">NPPF paragraph 11 – </w:t>
      </w:r>
      <w:r>
        <w:t>the presumption in favour of sustainable development does not disapply the requirement for evidence or override demonstrable harm.</w:t>
      </w:r>
    </w:p>
    <w:p w14:paraId="4D5C08A7" w14:textId="77777777" w:rsidR="00310FEC" w:rsidRPr="00310FEC" w:rsidRDefault="00310FEC" w:rsidP="00310FEC">
      <w:pPr>
        <w:pStyle w:val="ListParagraph"/>
        <w:ind w:left="1440"/>
        <w:jc w:val="both"/>
      </w:pPr>
    </w:p>
    <w:p w14:paraId="4A73F670" w14:textId="41D1A39A" w:rsidR="00310FEC" w:rsidRDefault="00310FEC" w:rsidP="00310FEC">
      <w:pPr>
        <w:pStyle w:val="ListParagraph"/>
        <w:numPr>
          <w:ilvl w:val="0"/>
          <w:numId w:val="1"/>
        </w:numPr>
        <w:jc w:val="both"/>
        <w:rPr>
          <w:b/>
          <w:bCs/>
        </w:rPr>
      </w:pPr>
      <w:r>
        <w:rPr>
          <w:b/>
          <w:bCs/>
        </w:rPr>
        <w:t>Inadequate Drainage Strategy and Flood Risk Assessment</w:t>
      </w:r>
    </w:p>
    <w:p w14:paraId="4D611524" w14:textId="4B373A5E" w:rsidR="00310FEC" w:rsidRDefault="00310FEC" w:rsidP="00310FEC">
      <w:pPr>
        <w:pStyle w:val="ListParagraph"/>
        <w:jc w:val="both"/>
      </w:pPr>
      <w:r>
        <w:t>The Lead Local Flood Authority (LLFA) has raised significant concerns regarding the drainage strategy proposed for this development. Specifically:</w:t>
      </w:r>
    </w:p>
    <w:p w14:paraId="68F9C4EF" w14:textId="710E8256" w:rsidR="00310FEC" w:rsidRDefault="00310FEC" w:rsidP="00310FEC">
      <w:pPr>
        <w:pStyle w:val="ListParagraph"/>
        <w:numPr>
          <w:ilvl w:val="0"/>
          <w:numId w:val="8"/>
        </w:numPr>
        <w:jc w:val="both"/>
      </w:pPr>
      <w:r>
        <w:t>The topographic survey demonstrates that levels of the eastern drainage ditch do not fall uniformly towards the proposed outfall point adjacent to the A519.</w:t>
      </w:r>
    </w:p>
    <w:p w14:paraId="0DA1A3E6" w14:textId="7B483730" w:rsidR="00310FEC" w:rsidRDefault="00310FEC" w:rsidP="00310FEC">
      <w:pPr>
        <w:pStyle w:val="ListParagraph"/>
        <w:numPr>
          <w:ilvl w:val="0"/>
          <w:numId w:val="8"/>
        </w:numPr>
        <w:jc w:val="both"/>
      </w:pPr>
      <w:r>
        <w:t>The invert line of the proposed outfall is states as 138mAOD, whereas the north-eastern corner of the site adjacent to the A519 is at approximately 140mAOD.</w:t>
      </w:r>
    </w:p>
    <w:p w14:paraId="32B41F02" w14:textId="2F29F573" w:rsidR="00310FEC" w:rsidRDefault="00310FEC" w:rsidP="00310FEC">
      <w:pPr>
        <w:pStyle w:val="ListParagraph"/>
        <w:numPr>
          <w:ilvl w:val="0"/>
          <w:numId w:val="8"/>
        </w:numPr>
        <w:jc w:val="both"/>
      </w:pPr>
      <w:r>
        <w:t>The LLFA does not believe there is a gravity connection from the site to the downstream drainage network as shown in the Flood Risk Assessment.</w:t>
      </w:r>
    </w:p>
    <w:p w14:paraId="17D8391D" w14:textId="2F25D1BF" w:rsidR="00310FEC" w:rsidRDefault="00310FEC" w:rsidP="00417176">
      <w:pPr>
        <w:pStyle w:val="ListParagraph"/>
        <w:numPr>
          <w:ilvl w:val="0"/>
          <w:numId w:val="8"/>
        </w:numPr>
        <w:jc w:val="both"/>
      </w:pPr>
      <w:r>
        <w:t>The site would appear to have a readily available point of discharge to the local downstream drainage network.</w:t>
      </w:r>
    </w:p>
    <w:p w14:paraId="7E1DC7A1" w14:textId="77777777" w:rsidR="00417176" w:rsidRDefault="00417176" w:rsidP="00417176">
      <w:pPr>
        <w:pStyle w:val="ListParagraph"/>
        <w:ind w:left="1440"/>
        <w:jc w:val="both"/>
      </w:pPr>
    </w:p>
    <w:p w14:paraId="0D50BC56" w14:textId="5262154E" w:rsidR="00310FEC" w:rsidRDefault="00310FEC" w:rsidP="00310FEC">
      <w:pPr>
        <w:pStyle w:val="ListParagraph"/>
        <w:jc w:val="both"/>
      </w:pPr>
      <w:r>
        <w:t xml:space="preserve">The LLFA has explicitly states that </w:t>
      </w:r>
    </w:p>
    <w:p w14:paraId="58889BF3" w14:textId="06996CA0" w:rsidR="00310FEC" w:rsidRPr="00310FEC" w:rsidRDefault="00310FEC" w:rsidP="00310FEC">
      <w:pPr>
        <w:pStyle w:val="ListParagraph"/>
        <w:ind w:left="1440"/>
        <w:jc w:val="both"/>
        <w:rPr>
          <w:i/>
          <w:iCs/>
        </w:rPr>
      </w:pPr>
      <w:r>
        <w:rPr>
          <w:i/>
          <w:iCs/>
        </w:rPr>
        <w:t>“insufficient information has been submitted to demonstrate that an acceptable drainage strategy is proposed”</w:t>
      </w:r>
    </w:p>
    <w:p w14:paraId="52157129" w14:textId="55E17E5A" w:rsidR="00310FEC" w:rsidRDefault="00310FEC" w:rsidP="00310FEC">
      <w:pPr>
        <w:pStyle w:val="ListParagraph"/>
        <w:jc w:val="both"/>
      </w:pPr>
      <w:r>
        <w:t>and has</w:t>
      </w:r>
    </w:p>
    <w:p w14:paraId="3915A888" w14:textId="1AE1D96D" w:rsidR="00310FEC" w:rsidRPr="00310FEC" w:rsidRDefault="00310FEC" w:rsidP="00310FEC">
      <w:pPr>
        <w:pStyle w:val="ListParagraph"/>
        <w:ind w:left="1440"/>
        <w:jc w:val="both"/>
        <w:rPr>
          <w:i/>
          <w:iCs/>
        </w:rPr>
      </w:pPr>
      <w:r>
        <w:rPr>
          <w:i/>
          <w:iCs/>
        </w:rPr>
        <w:t>“recommended that planning permission is not granted.”</w:t>
      </w:r>
    </w:p>
    <w:p w14:paraId="52B26095" w14:textId="77777777" w:rsidR="00310FEC" w:rsidRDefault="00310FEC" w:rsidP="00310FEC">
      <w:pPr>
        <w:pStyle w:val="ListParagraph"/>
        <w:jc w:val="both"/>
      </w:pPr>
    </w:p>
    <w:p w14:paraId="6D4463E5" w14:textId="117249AD" w:rsidR="00310FEC" w:rsidRDefault="00310FEC" w:rsidP="00310FEC">
      <w:pPr>
        <w:pStyle w:val="ListParagraph"/>
        <w:jc w:val="both"/>
      </w:pPr>
      <w:r>
        <w:t>This represents a fundamental deficiency in the application. Further site-based investigations are required to demonstrate a suitable point of outfall in line with the drainage hierarchy. This is contrary to:</w:t>
      </w:r>
    </w:p>
    <w:p w14:paraId="0AC86763" w14:textId="651101DD" w:rsidR="00310FEC" w:rsidRPr="00310FEC" w:rsidRDefault="00310FEC" w:rsidP="00310FEC">
      <w:pPr>
        <w:pStyle w:val="ListParagraph"/>
        <w:numPr>
          <w:ilvl w:val="0"/>
          <w:numId w:val="11"/>
        </w:numPr>
        <w:jc w:val="both"/>
      </w:pPr>
      <w:r>
        <w:rPr>
          <w:b/>
          <w:bCs/>
        </w:rPr>
        <w:t xml:space="preserve">NPPF paragraph 170 – </w:t>
      </w:r>
      <w:r>
        <w:t xml:space="preserve">directing development away from areas at highest risk of flooding and ensuring adequate drainage. </w:t>
      </w:r>
    </w:p>
    <w:p w14:paraId="5D92EABF" w14:textId="664FC29C" w:rsidR="00310FEC" w:rsidRDefault="00310FEC" w:rsidP="00310FEC">
      <w:pPr>
        <w:pStyle w:val="ListParagraph"/>
        <w:numPr>
          <w:ilvl w:val="0"/>
          <w:numId w:val="11"/>
        </w:numPr>
        <w:jc w:val="both"/>
      </w:pPr>
      <w:r>
        <w:rPr>
          <w:b/>
          <w:bCs/>
        </w:rPr>
        <w:lastRenderedPageBreak/>
        <w:t xml:space="preserve">NPPF paragraph 173 – </w:t>
      </w:r>
      <w:r>
        <w:t xml:space="preserve">ensuring development is appropriately flood resilient. </w:t>
      </w:r>
    </w:p>
    <w:p w14:paraId="59BFD87A" w14:textId="77777777" w:rsidR="00310FEC" w:rsidRPr="00310FEC" w:rsidRDefault="00310FEC" w:rsidP="00310FEC">
      <w:pPr>
        <w:jc w:val="both"/>
      </w:pPr>
    </w:p>
    <w:p w14:paraId="58640CA0" w14:textId="038B3A21" w:rsidR="00310FEC" w:rsidRDefault="00310FEC" w:rsidP="00310FEC">
      <w:pPr>
        <w:pStyle w:val="ListParagraph"/>
        <w:numPr>
          <w:ilvl w:val="0"/>
          <w:numId w:val="1"/>
        </w:numPr>
        <w:jc w:val="both"/>
        <w:rPr>
          <w:b/>
          <w:bCs/>
        </w:rPr>
      </w:pPr>
      <w:r>
        <w:rPr>
          <w:b/>
          <w:bCs/>
        </w:rPr>
        <w:t>Groundwater Contamination and Environmental Agency Concerns</w:t>
      </w:r>
    </w:p>
    <w:p w14:paraId="758034B9" w14:textId="5CA11C3F" w:rsidR="00310FEC" w:rsidRDefault="00310FEC" w:rsidP="00310FEC">
      <w:pPr>
        <w:pStyle w:val="ListParagraph"/>
        <w:jc w:val="both"/>
      </w:pPr>
      <w:r>
        <w:t>The Environment Agency response (Ref: ENQ2025/38654) has raised major concerns about the safety and suitability of the land for housing. The EA has confirmed:</w:t>
      </w:r>
    </w:p>
    <w:p w14:paraId="32B7FA0C" w14:textId="24EB8B4D" w:rsidR="00310FEC" w:rsidRDefault="00310FEC" w:rsidP="00310FEC">
      <w:pPr>
        <w:pStyle w:val="ListParagraph"/>
        <w:numPr>
          <w:ilvl w:val="0"/>
          <w:numId w:val="13"/>
        </w:numPr>
        <w:jc w:val="both"/>
      </w:pPr>
      <w:r>
        <w:t>The site has groundwater vulnerability.</w:t>
      </w:r>
    </w:p>
    <w:p w14:paraId="291279B1" w14:textId="18E11C80" w:rsidR="00310FEC" w:rsidRDefault="00310FEC" w:rsidP="00310FEC">
      <w:pPr>
        <w:pStyle w:val="ListParagraph"/>
        <w:numPr>
          <w:ilvl w:val="0"/>
          <w:numId w:val="13"/>
        </w:numPr>
        <w:jc w:val="both"/>
      </w:pPr>
      <w:r>
        <w:t>There is possible contamination that has not been addressed.</w:t>
      </w:r>
    </w:p>
    <w:p w14:paraId="4F2DA647" w14:textId="41A63DD1" w:rsidR="00310FEC" w:rsidRDefault="00310FEC" w:rsidP="00310FEC">
      <w:pPr>
        <w:pStyle w:val="ListParagraph"/>
        <w:numPr>
          <w:ilvl w:val="0"/>
          <w:numId w:val="13"/>
        </w:numPr>
        <w:jc w:val="both"/>
      </w:pPr>
      <w:r>
        <w:t>Drainage risks exist that have not been adequately assessed.</w:t>
      </w:r>
    </w:p>
    <w:p w14:paraId="537705BE" w14:textId="1C4E21BE" w:rsidR="00310FEC" w:rsidRDefault="00310FEC" w:rsidP="00310FEC">
      <w:pPr>
        <w:pStyle w:val="ListParagraph"/>
        <w:numPr>
          <w:ilvl w:val="0"/>
          <w:numId w:val="13"/>
        </w:numPr>
        <w:jc w:val="both"/>
      </w:pPr>
      <w:r>
        <w:t>A full intrusive ground investigation (Phase 2) must be carried out due to unidentified contamination which could pose a risk.</w:t>
      </w:r>
    </w:p>
    <w:p w14:paraId="52FAFD23" w14:textId="3D152B07" w:rsidR="00310FEC" w:rsidRDefault="00310FEC" w:rsidP="00417176">
      <w:pPr>
        <w:pStyle w:val="ListParagraph"/>
        <w:numPr>
          <w:ilvl w:val="0"/>
          <w:numId w:val="13"/>
        </w:numPr>
        <w:jc w:val="both"/>
      </w:pPr>
      <w:r>
        <w:t xml:space="preserve">Long-term groundwater monitoring and contingency plans are required. </w:t>
      </w:r>
    </w:p>
    <w:p w14:paraId="56D3B99F" w14:textId="1B333629" w:rsidR="00310FEC" w:rsidRDefault="00310FEC" w:rsidP="00310FEC">
      <w:pPr>
        <w:pStyle w:val="ListParagraph"/>
        <w:jc w:val="both"/>
      </w:pPr>
      <w:r>
        <w:t>The current flood and contamination assessments are incomplete and inaccurate. There are not minor technical matters that can be resolved by condition – they go to the fundamental suitability of the land for residential development. This is contrary to:</w:t>
      </w:r>
    </w:p>
    <w:p w14:paraId="2DA91F31" w14:textId="14AF0897" w:rsidR="00310FEC" w:rsidRDefault="00310FEC" w:rsidP="00310FEC">
      <w:pPr>
        <w:pStyle w:val="ListParagraph"/>
        <w:numPr>
          <w:ilvl w:val="0"/>
          <w:numId w:val="12"/>
        </w:numPr>
        <w:jc w:val="both"/>
      </w:pPr>
      <w:r>
        <w:rPr>
          <w:b/>
          <w:bCs/>
        </w:rPr>
        <w:t xml:space="preserve">NPPF paragraph 187(f)  – </w:t>
      </w:r>
      <w:r>
        <w:t xml:space="preserve">ensuring that sites are suitable for their proposed use taking account of ground conditions and any risks arising from contamination. </w:t>
      </w:r>
    </w:p>
    <w:p w14:paraId="27D58B59" w14:textId="77777777" w:rsidR="00310FEC" w:rsidRPr="00310FEC" w:rsidRDefault="00310FEC" w:rsidP="00310FEC">
      <w:pPr>
        <w:pStyle w:val="ListParagraph"/>
        <w:ind w:left="1440"/>
        <w:jc w:val="both"/>
      </w:pPr>
    </w:p>
    <w:p w14:paraId="5818F8E5" w14:textId="5887EB86" w:rsidR="00310FEC" w:rsidRDefault="00310FEC" w:rsidP="00310FEC">
      <w:pPr>
        <w:pStyle w:val="ListParagraph"/>
        <w:numPr>
          <w:ilvl w:val="0"/>
          <w:numId w:val="1"/>
        </w:numPr>
        <w:jc w:val="both"/>
        <w:rPr>
          <w:b/>
          <w:bCs/>
        </w:rPr>
      </w:pPr>
      <w:r>
        <w:rPr>
          <w:b/>
          <w:bCs/>
        </w:rPr>
        <w:t xml:space="preserve">Proximity of Legally Protected Environmental Sites </w:t>
      </w:r>
    </w:p>
    <w:p w14:paraId="78BB2B44" w14:textId="26E1D955" w:rsidR="00310FEC" w:rsidRDefault="00310FEC" w:rsidP="00310FEC">
      <w:pPr>
        <w:pStyle w:val="ListParagraph"/>
        <w:jc w:val="both"/>
      </w:pPr>
      <w:r>
        <w:t>The development site is located within close proximity to several legally protected environmental sites, including:</w:t>
      </w:r>
    </w:p>
    <w:p w14:paraId="6AF866BF" w14:textId="172508E5" w:rsidR="00310FEC" w:rsidRPr="00310FEC" w:rsidRDefault="00310FEC" w:rsidP="00310FEC">
      <w:pPr>
        <w:pStyle w:val="ListParagraph"/>
        <w:numPr>
          <w:ilvl w:val="0"/>
          <w:numId w:val="12"/>
        </w:numPr>
        <w:jc w:val="both"/>
      </w:pPr>
      <w:r>
        <w:rPr>
          <w:b/>
          <w:bCs/>
        </w:rPr>
        <w:t xml:space="preserve">Loynton Moss SSSI (1.3 km SW): </w:t>
      </w:r>
      <w:r>
        <w:t>A 13-hectare wetland designated as a Site of Special Scientific Interest, managed by Staffordshire Wildlife Trust. It is a mosaic of reedbeds, wet woodland and bog, home to uncommon plants and wetland species.</w:t>
      </w:r>
    </w:p>
    <w:p w14:paraId="62C017D9" w14:textId="366DFF32" w:rsidR="00310FEC" w:rsidRDefault="00310FEC" w:rsidP="00417176">
      <w:pPr>
        <w:pStyle w:val="ListParagraph"/>
        <w:numPr>
          <w:ilvl w:val="0"/>
          <w:numId w:val="12"/>
        </w:numPr>
        <w:spacing w:after="240"/>
        <w:jc w:val="both"/>
      </w:pPr>
      <w:r>
        <w:rPr>
          <w:b/>
          <w:bCs/>
        </w:rPr>
        <w:t xml:space="preserve">Norbury Park BIFoR Research Forest: </w:t>
      </w:r>
      <w:r>
        <w:t>A unique research facility operated by the University of Birmingham, studying ancient oak trees and woodland ecosystems.</w:t>
      </w:r>
    </w:p>
    <w:p w14:paraId="42D7BA0C" w14:textId="07A6F1F2" w:rsidR="00310FEC" w:rsidRDefault="00310FEC" w:rsidP="00310FEC">
      <w:pPr>
        <w:pStyle w:val="ListParagraph"/>
        <w:spacing w:after="240"/>
        <w:jc w:val="both"/>
      </w:pPr>
      <w:r>
        <w:t>A development of 100 houses will generate:</w:t>
      </w:r>
    </w:p>
    <w:p w14:paraId="3B5136EA" w14:textId="0AED7525" w:rsidR="00310FEC" w:rsidRDefault="00310FEC" w:rsidP="00310FEC">
      <w:pPr>
        <w:pStyle w:val="ListParagraph"/>
        <w:numPr>
          <w:ilvl w:val="0"/>
          <w:numId w:val="14"/>
        </w:numPr>
        <w:jc w:val="both"/>
      </w:pPr>
      <w:r>
        <w:t>Increase surface water runoff that could reach Loynton Moss.</w:t>
      </w:r>
    </w:p>
    <w:p w14:paraId="54D0AC4D" w14:textId="691E2568" w:rsidR="00310FEC" w:rsidRDefault="00310FEC" w:rsidP="00310FEC">
      <w:pPr>
        <w:pStyle w:val="ListParagraph"/>
        <w:numPr>
          <w:ilvl w:val="0"/>
          <w:numId w:val="14"/>
        </w:numPr>
        <w:jc w:val="both"/>
      </w:pPr>
      <w:r>
        <w:t>Potential contamination from construction and domestic activities.</w:t>
      </w:r>
    </w:p>
    <w:p w14:paraId="1555FE40" w14:textId="36B1797A" w:rsidR="00310FEC" w:rsidRDefault="00310FEC" w:rsidP="00310FEC">
      <w:pPr>
        <w:pStyle w:val="ListParagraph"/>
        <w:numPr>
          <w:ilvl w:val="0"/>
          <w:numId w:val="14"/>
        </w:numPr>
        <w:jc w:val="both"/>
      </w:pPr>
      <w:r>
        <w:t>Additional recreational pressure on sensitive habitats.</w:t>
      </w:r>
    </w:p>
    <w:p w14:paraId="03E06EC9" w14:textId="745C2974" w:rsidR="00310FEC" w:rsidRDefault="00310FEC" w:rsidP="00417176">
      <w:pPr>
        <w:pStyle w:val="ListParagraph"/>
        <w:numPr>
          <w:ilvl w:val="0"/>
          <w:numId w:val="14"/>
        </w:numPr>
        <w:jc w:val="both"/>
      </w:pPr>
      <w:r>
        <w:t>Disruption to wildlife corridors and ecological connectivity.</w:t>
      </w:r>
    </w:p>
    <w:p w14:paraId="53E5A719" w14:textId="3A7DB6F4" w:rsidR="00310FEC" w:rsidRDefault="00310FEC" w:rsidP="00310FEC">
      <w:pPr>
        <w:pStyle w:val="ListParagraph"/>
        <w:jc w:val="both"/>
      </w:pPr>
      <w:r>
        <w:t>The application has not adequately assessed these cumulate impacts. This is contrary to:</w:t>
      </w:r>
    </w:p>
    <w:p w14:paraId="5D8FC5FD" w14:textId="550F74CE" w:rsidR="00310FEC" w:rsidRDefault="00310FEC" w:rsidP="00310FEC">
      <w:pPr>
        <w:pStyle w:val="ListParagraph"/>
        <w:numPr>
          <w:ilvl w:val="0"/>
          <w:numId w:val="11"/>
        </w:numPr>
        <w:jc w:val="both"/>
      </w:pPr>
      <w:r>
        <w:rPr>
          <w:b/>
          <w:bCs/>
        </w:rPr>
        <w:t xml:space="preserve">NPPF paragraph 193(b) – </w:t>
      </w:r>
      <w:r>
        <w:t xml:space="preserve">development will likely have an adverse effect on a SSSI, either alone or in combination with other developments, should not normally be permitted. </w:t>
      </w:r>
    </w:p>
    <w:p w14:paraId="34A363A5" w14:textId="77777777" w:rsidR="00310FEC" w:rsidRPr="00310FEC" w:rsidRDefault="00310FEC" w:rsidP="00310FEC">
      <w:pPr>
        <w:pStyle w:val="ListParagraph"/>
        <w:jc w:val="both"/>
      </w:pPr>
    </w:p>
    <w:p w14:paraId="0A962501" w14:textId="05CD855F" w:rsidR="00310FEC" w:rsidRDefault="00310FEC" w:rsidP="00310FEC">
      <w:pPr>
        <w:pStyle w:val="ListParagraph"/>
        <w:numPr>
          <w:ilvl w:val="0"/>
          <w:numId w:val="1"/>
        </w:numPr>
        <w:jc w:val="both"/>
        <w:rPr>
          <w:b/>
          <w:bCs/>
        </w:rPr>
      </w:pPr>
      <w:r>
        <w:rPr>
          <w:b/>
          <w:bCs/>
        </w:rPr>
        <w:t>Infrastructure Capacity and Highway Safety</w:t>
      </w:r>
    </w:p>
    <w:p w14:paraId="7BD13FC5" w14:textId="36593D6A" w:rsidR="00310FEC" w:rsidRDefault="00310FEC" w:rsidP="00310FEC">
      <w:pPr>
        <w:pStyle w:val="ListParagraph"/>
        <w:jc w:val="both"/>
      </w:pPr>
      <w:r>
        <w:t>Woodseaves is a small rural village with limited infrastructure. The addition of up to 100 dwellings would place significant additional pressure on:</w:t>
      </w:r>
    </w:p>
    <w:p w14:paraId="33F697D7" w14:textId="7F1E44EC" w:rsidR="00310FEC" w:rsidRDefault="00310FEC" w:rsidP="00310FEC">
      <w:pPr>
        <w:pStyle w:val="ListParagraph"/>
        <w:numPr>
          <w:ilvl w:val="0"/>
          <w:numId w:val="11"/>
        </w:numPr>
        <w:jc w:val="both"/>
      </w:pPr>
      <w:r>
        <w:lastRenderedPageBreak/>
        <w:t>Woodseaves Primary School, which is already operating at or near capacity.</w:t>
      </w:r>
    </w:p>
    <w:p w14:paraId="0BBBDF0C" w14:textId="7D4F0FA4" w:rsidR="00310FEC" w:rsidRDefault="00310FEC" w:rsidP="00310FEC">
      <w:pPr>
        <w:pStyle w:val="ListParagraph"/>
        <w:numPr>
          <w:ilvl w:val="0"/>
          <w:numId w:val="11"/>
        </w:numPr>
        <w:jc w:val="both"/>
      </w:pPr>
      <w:r>
        <w:t>Local roads, particularly the A519 Newport Road and Dicky’s Lane.</w:t>
      </w:r>
    </w:p>
    <w:p w14:paraId="7B9591BF" w14:textId="704E0247" w:rsidR="00310FEC" w:rsidRDefault="00310FEC" w:rsidP="00310FEC">
      <w:pPr>
        <w:pStyle w:val="ListParagraph"/>
        <w:numPr>
          <w:ilvl w:val="0"/>
          <w:numId w:val="11"/>
        </w:numPr>
        <w:jc w:val="both"/>
      </w:pPr>
      <w:r>
        <w:t>Healthcare facilities and GP surgeries in nearby settlements.</w:t>
      </w:r>
    </w:p>
    <w:p w14:paraId="35536CCD" w14:textId="516AEE2F" w:rsidR="00310FEC" w:rsidRDefault="00310FEC" w:rsidP="00310FEC">
      <w:pPr>
        <w:pStyle w:val="ListParagraph"/>
        <w:numPr>
          <w:ilvl w:val="0"/>
          <w:numId w:val="11"/>
        </w:numPr>
        <w:jc w:val="both"/>
      </w:pPr>
      <w:r>
        <w:t>Local drainage and sewage infrastructure.</w:t>
      </w:r>
    </w:p>
    <w:p w14:paraId="4786F048" w14:textId="0BEC1013" w:rsidR="00310FEC" w:rsidRDefault="00310FEC" w:rsidP="00310FEC">
      <w:pPr>
        <w:pStyle w:val="ListParagraph"/>
        <w:jc w:val="both"/>
      </w:pPr>
      <w:r>
        <w:t>The development would generate an estimated 200-300 additional vehicle movements per day, placing strain on rural roads that are not designed for such traffic volumes. No adequate assessment of cumulative traffic impacts has been provided. This is contrary to:</w:t>
      </w:r>
    </w:p>
    <w:p w14:paraId="6D0451C9" w14:textId="660E6B76" w:rsidR="00310FEC" w:rsidRPr="00310FEC" w:rsidRDefault="00310FEC" w:rsidP="00310FEC">
      <w:pPr>
        <w:pStyle w:val="ListParagraph"/>
        <w:numPr>
          <w:ilvl w:val="0"/>
          <w:numId w:val="11"/>
        </w:numPr>
        <w:jc w:val="both"/>
      </w:pPr>
      <w:r>
        <w:rPr>
          <w:b/>
          <w:bCs/>
        </w:rPr>
        <w:t xml:space="preserve">NPPF paragraph 115 – </w:t>
      </w:r>
      <w:r>
        <w:t xml:space="preserve">development should only be prevented or refused on highways grounds if there would be an unacceptable impact on highway safety. </w:t>
      </w:r>
    </w:p>
    <w:p w14:paraId="5895D607" w14:textId="2402B4DC" w:rsidR="00310FEC" w:rsidRDefault="00310FEC" w:rsidP="00310FEC">
      <w:pPr>
        <w:pStyle w:val="ListParagraph"/>
        <w:numPr>
          <w:ilvl w:val="0"/>
          <w:numId w:val="11"/>
        </w:numPr>
        <w:jc w:val="both"/>
      </w:pPr>
      <w:r>
        <w:rPr>
          <w:b/>
          <w:bCs/>
        </w:rPr>
        <w:t xml:space="preserve">NPPF paragraph 27 – </w:t>
      </w:r>
      <w:r>
        <w:t xml:space="preserve">ensuring that sufficient education, healthcare and other social infrastructures are available. </w:t>
      </w:r>
    </w:p>
    <w:p w14:paraId="553889D0" w14:textId="77777777" w:rsidR="00310FEC" w:rsidRPr="00310FEC" w:rsidRDefault="00310FEC" w:rsidP="00310FEC">
      <w:pPr>
        <w:pStyle w:val="ListParagraph"/>
        <w:jc w:val="both"/>
      </w:pPr>
    </w:p>
    <w:p w14:paraId="0CC39752" w14:textId="77777777" w:rsidR="00310FEC" w:rsidRDefault="00310FEC" w:rsidP="00310FEC">
      <w:pPr>
        <w:jc w:val="both"/>
        <w:rPr>
          <w:b/>
          <w:bCs/>
        </w:rPr>
      </w:pPr>
    </w:p>
    <w:p w14:paraId="40C217F9" w14:textId="2A1580A4" w:rsidR="00310FEC" w:rsidRDefault="00310FEC" w:rsidP="00310FEC">
      <w:pPr>
        <w:jc w:val="both"/>
        <w:rPr>
          <w:b/>
          <w:bCs/>
        </w:rPr>
      </w:pPr>
      <w:r>
        <w:rPr>
          <w:b/>
          <w:bCs/>
        </w:rPr>
        <w:t xml:space="preserve">Conclusion </w:t>
      </w:r>
    </w:p>
    <w:p w14:paraId="5BD179DC" w14:textId="77777777" w:rsidR="00310FEC" w:rsidRDefault="00310FEC" w:rsidP="00310FEC">
      <w:pPr>
        <w:jc w:val="both"/>
        <w:rPr>
          <w:b/>
          <w:bCs/>
        </w:rPr>
      </w:pPr>
    </w:p>
    <w:p w14:paraId="506AACEE" w14:textId="7641B5EF" w:rsidR="00310FEC" w:rsidRDefault="00310FEC" w:rsidP="00310FEC">
      <w:pPr>
        <w:jc w:val="both"/>
      </w:pPr>
      <w:r>
        <w:t>In conclusion, the development would introduce an industrial-scale housing estate into open countryside beyond the settlement boundary, without evidence that it responds to genuine local need. Material provided in relation to land values, planning uplift, and financial considerations confirms that this is a supply-led, land-value driven scheme rather than needs-led rural housing. Furthermore, serious concerns remain unresolved drainage, flood risk, contamination, biodiversity and infrastructure capacity. Both the Lead Local Flood Authority and Environment Agency have raised fundamental objections requiring further investigation before any determination can be made.</w:t>
      </w:r>
    </w:p>
    <w:p w14:paraId="4AF0FB7B" w14:textId="77777777" w:rsidR="00310FEC" w:rsidRDefault="00310FEC" w:rsidP="00310FEC">
      <w:pPr>
        <w:jc w:val="both"/>
      </w:pPr>
    </w:p>
    <w:p w14:paraId="1F5ED091" w14:textId="211C32E6" w:rsidR="00310FEC" w:rsidRDefault="00310FEC" w:rsidP="00310FEC">
      <w:pPr>
        <w:jc w:val="both"/>
      </w:pPr>
      <w:r>
        <w:t>The correct course of action at this stage is refusal pending:</w:t>
      </w:r>
    </w:p>
    <w:p w14:paraId="02CEF020" w14:textId="406B25D0" w:rsidR="00310FEC" w:rsidRDefault="00310FEC" w:rsidP="00310FEC">
      <w:pPr>
        <w:pStyle w:val="ListParagraph"/>
        <w:numPr>
          <w:ilvl w:val="0"/>
          <w:numId w:val="16"/>
        </w:numPr>
        <w:jc w:val="both"/>
      </w:pPr>
      <w:r>
        <w:t>Completion of Housing Needs Survey to establish whether any housing is required, and if so, at what scale and tenure.</w:t>
      </w:r>
    </w:p>
    <w:p w14:paraId="49945E42" w14:textId="2A02CC13" w:rsidR="00310FEC" w:rsidRDefault="00310FEC" w:rsidP="00310FEC">
      <w:pPr>
        <w:pStyle w:val="ListParagraph"/>
        <w:numPr>
          <w:ilvl w:val="0"/>
          <w:numId w:val="16"/>
        </w:numPr>
        <w:jc w:val="both"/>
      </w:pPr>
      <w:r>
        <w:t>Full Phase 2 intrusive ground investigation and contamination assessment.</w:t>
      </w:r>
    </w:p>
    <w:p w14:paraId="0492E6A6" w14:textId="4E6553BD" w:rsidR="00310FEC" w:rsidRDefault="00310FEC" w:rsidP="00310FEC">
      <w:pPr>
        <w:pStyle w:val="ListParagraph"/>
        <w:numPr>
          <w:ilvl w:val="0"/>
          <w:numId w:val="16"/>
        </w:numPr>
        <w:jc w:val="both"/>
      </w:pPr>
      <w:r>
        <w:t xml:space="preserve">Demonstration of a feasible drainage strategy with confirmed gravity connection to downstream network. </w:t>
      </w:r>
    </w:p>
    <w:p w14:paraId="5E9169BC" w14:textId="040EEFDA" w:rsidR="00310FEC" w:rsidRDefault="00310FEC" w:rsidP="00310FEC">
      <w:pPr>
        <w:pStyle w:val="ListParagraph"/>
        <w:numPr>
          <w:ilvl w:val="0"/>
          <w:numId w:val="16"/>
        </w:numPr>
        <w:jc w:val="both"/>
      </w:pPr>
      <w:r>
        <w:t>Assessment of cumulative impacts on protected sites and rural character.</w:t>
      </w:r>
    </w:p>
    <w:p w14:paraId="3B558117" w14:textId="0BBF6D07" w:rsidR="00310FEC" w:rsidRDefault="00310FEC" w:rsidP="00310FEC">
      <w:pPr>
        <w:pStyle w:val="ListParagraph"/>
        <w:numPr>
          <w:ilvl w:val="0"/>
          <w:numId w:val="16"/>
        </w:numPr>
        <w:jc w:val="both"/>
      </w:pPr>
      <w:r>
        <w:t>Evidence-led assessment of infrastructure capacity and highway safety.</w:t>
      </w:r>
    </w:p>
    <w:p w14:paraId="4CF87D88" w14:textId="77777777" w:rsidR="00310FEC" w:rsidRDefault="00310FEC" w:rsidP="00310FEC">
      <w:pPr>
        <w:jc w:val="both"/>
      </w:pPr>
    </w:p>
    <w:p w14:paraId="61102944" w14:textId="3F224D23" w:rsidR="00310FEC" w:rsidRPr="00310FEC" w:rsidRDefault="00310FEC" w:rsidP="00310FEC">
      <w:pPr>
        <w:jc w:val="both"/>
      </w:pPr>
      <w:r>
        <w:t xml:space="preserve">For these reasons, we strongly encourage Stafford Borough Council to refuse planning application </w:t>
      </w:r>
      <w:r w:rsidRPr="0078564E">
        <w:rPr>
          <w:rFonts w:ascii="Tahoma" w:hAnsi="Tahoma" w:cs="Tahoma"/>
          <w:b/>
          <w:bCs/>
          <w:color w:val="000000"/>
          <w:shd w:val="clear" w:color="auto" w:fill="FFFFFF"/>
        </w:rPr>
        <w:t>25/40683/OUT</w:t>
      </w:r>
      <w:r>
        <w:rPr>
          <w:rFonts w:ascii="Tahoma" w:hAnsi="Tahoma" w:cs="Tahoma"/>
          <w:b/>
          <w:bCs/>
          <w:color w:val="000000"/>
          <w:shd w:val="clear" w:color="auto" w:fill="FFFFFF"/>
        </w:rPr>
        <w:t xml:space="preserve">. </w:t>
      </w:r>
    </w:p>
    <w:sectPr w:rsidR="00310FEC" w:rsidRPr="00310F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M Sans">
    <w:charset w:val="00"/>
    <w:family w:val="auto"/>
    <w:pitch w:val="variable"/>
    <w:sig w:usb0="8000002F" w:usb1="5000205B"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B39A1"/>
    <w:multiLevelType w:val="hybridMultilevel"/>
    <w:tmpl w:val="3B0CBB2E"/>
    <w:lvl w:ilvl="0" w:tplc="3682A30A">
      <w:start w:val="1"/>
      <w:numFmt w:val="bullet"/>
      <w:lvlText w:val=""/>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8D33DEC"/>
    <w:multiLevelType w:val="hybridMultilevel"/>
    <w:tmpl w:val="6F302734"/>
    <w:lvl w:ilvl="0" w:tplc="3682A30A">
      <w:start w:val="1"/>
      <w:numFmt w:val="bullet"/>
      <w:lvlText w:val=""/>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2C335EB1"/>
    <w:multiLevelType w:val="hybridMultilevel"/>
    <w:tmpl w:val="F6C230AC"/>
    <w:lvl w:ilvl="0" w:tplc="3682A30A">
      <w:start w:val="1"/>
      <w:numFmt w:val="bullet"/>
      <w:lvlText w:val=""/>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D967C49"/>
    <w:multiLevelType w:val="hybridMultilevel"/>
    <w:tmpl w:val="AB6608DE"/>
    <w:lvl w:ilvl="0" w:tplc="3682A30A">
      <w:start w:val="1"/>
      <w:numFmt w:val="bullet"/>
      <w:lvlText w:val=""/>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3709177D"/>
    <w:multiLevelType w:val="hybridMultilevel"/>
    <w:tmpl w:val="7BD4DB6A"/>
    <w:lvl w:ilvl="0" w:tplc="3682A30A">
      <w:start w:val="1"/>
      <w:numFmt w:val="bullet"/>
      <w:lvlText w:val=""/>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FED2A06"/>
    <w:multiLevelType w:val="hybridMultilevel"/>
    <w:tmpl w:val="A36608CA"/>
    <w:lvl w:ilvl="0" w:tplc="CC380686">
      <w:start w:val="1"/>
      <w:numFmt w:val="decimal"/>
      <w:lvlText w:val="%1."/>
      <w:lvlJc w:val="left"/>
      <w:pPr>
        <w:ind w:left="720" w:hanging="360"/>
      </w:pPr>
      <w:rPr>
        <w:rFonts w:ascii="DM Sans" w:hAnsi="DM San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300082B"/>
    <w:multiLevelType w:val="hybridMultilevel"/>
    <w:tmpl w:val="1E4816B0"/>
    <w:lvl w:ilvl="0" w:tplc="3682A30A">
      <w:start w:val="1"/>
      <w:numFmt w:val="bullet"/>
      <w:lvlText w:val=""/>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565136D0"/>
    <w:multiLevelType w:val="hybridMultilevel"/>
    <w:tmpl w:val="0406C892"/>
    <w:lvl w:ilvl="0" w:tplc="3682A30A">
      <w:start w:val="1"/>
      <w:numFmt w:val="bullet"/>
      <w:lvlText w:val=""/>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5BB50398"/>
    <w:multiLevelType w:val="hybridMultilevel"/>
    <w:tmpl w:val="1DF81A00"/>
    <w:lvl w:ilvl="0" w:tplc="3682A30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0AD2426"/>
    <w:multiLevelType w:val="hybridMultilevel"/>
    <w:tmpl w:val="0F50F222"/>
    <w:lvl w:ilvl="0" w:tplc="3682A30A">
      <w:start w:val="1"/>
      <w:numFmt w:val="bullet"/>
      <w:lvlText w:val=""/>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630505F6"/>
    <w:multiLevelType w:val="hybridMultilevel"/>
    <w:tmpl w:val="D7A090C8"/>
    <w:lvl w:ilvl="0" w:tplc="3682A30A">
      <w:start w:val="1"/>
      <w:numFmt w:val="bullet"/>
      <w:lvlText w:val=""/>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6B6727D5"/>
    <w:multiLevelType w:val="hybridMultilevel"/>
    <w:tmpl w:val="B322D550"/>
    <w:lvl w:ilvl="0" w:tplc="3682A30A">
      <w:start w:val="1"/>
      <w:numFmt w:val="bullet"/>
      <w:lvlText w:val=""/>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6CC509EA"/>
    <w:multiLevelType w:val="hybridMultilevel"/>
    <w:tmpl w:val="057003B8"/>
    <w:lvl w:ilvl="0" w:tplc="3682A30A">
      <w:start w:val="1"/>
      <w:numFmt w:val="bullet"/>
      <w:lvlText w:val=""/>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780518E8"/>
    <w:multiLevelType w:val="hybridMultilevel"/>
    <w:tmpl w:val="526C5AC8"/>
    <w:lvl w:ilvl="0" w:tplc="3682A30A">
      <w:start w:val="1"/>
      <w:numFmt w:val="bullet"/>
      <w:lvlText w:val=""/>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7E3C1CE8"/>
    <w:multiLevelType w:val="hybridMultilevel"/>
    <w:tmpl w:val="8A7889D2"/>
    <w:lvl w:ilvl="0" w:tplc="3682A30A">
      <w:start w:val="1"/>
      <w:numFmt w:val="bullet"/>
      <w:lvlText w:val=""/>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7FE67CEE"/>
    <w:multiLevelType w:val="hybridMultilevel"/>
    <w:tmpl w:val="23168866"/>
    <w:lvl w:ilvl="0" w:tplc="3682A30A">
      <w:start w:val="1"/>
      <w:numFmt w:val="bullet"/>
      <w:lvlText w:val=""/>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334260143">
    <w:abstractNumId w:val="5"/>
  </w:num>
  <w:num w:numId="2" w16cid:durableId="602808411">
    <w:abstractNumId w:val="15"/>
  </w:num>
  <w:num w:numId="3" w16cid:durableId="1914469687">
    <w:abstractNumId w:val="12"/>
  </w:num>
  <w:num w:numId="4" w16cid:durableId="876625022">
    <w:abstractNumId w:val="11"/>
  </w:num>
  <w:num w:numId="5" w16cid:durableId="1894580923">
    <w:abstractNumId w:val="10"/>
  </w:num>
  <w:num w:numId="6" w16cid:durableId="560410452">
    <w:abstractNumId w:val="13"/>
  </w:num>
  <w:num w:numId="7" w16cid:durableId="912155144">
    <w:abstractNumId w:val="1"/>
  </w:num>
  <w:num w:numId="8" w16cid:durableId="1667392618">
    <w:abstractNumId w:val="0"/>
  </w:num>
  <w:num w:numId="9" w16cid:durableId="172064520">
    <w:abstractNumId w:val="4"/>
  </w:num>
  <w:num w:numId="10" w16cid:durableId="1139346056">
    <w:abstractNumId w:val="2"/>
  </w:num>
  <w:num w:numId="11" w16cid:durableId="786772536">
    <w:abstractNumId w:val="7"/>
  </w:num>
  <w:num w:numId="12" w16cid:durableId="1989705179">
    <w:abstractNumId w:val="14"/>
  </w:num>
  <w:num w:numId="13" w16cid:durableId="1387023850">
    <w:abstractNumId w:val="9"/>
  </w:num>
  <w:num w:numId="14" w16cid:durableId="35665714">
    <w:abstractNumId w:val="3"/>
  </w:num>
  <w:num w:numId="15" w16cid:durableId="99614904">
    <w:abstractNumId w:val="6"/>
  </w:num>
  <w:num w:numId="16" w16cid:durableId="9320541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B4F"/>
    <w:rsid w:val="00065BA0"/>
    <w:rsid w:val="00145C50"/>
    <w:rsid w:val="00310FEC"/>
    <w:rsid w:val="00345F56"/>
    <w:rsid w:val="00417176"/>
    <w:rsid w:val="004F617D"/>
    <w:rsid w:val="008068DF"/>
    <w:rsid w:val="00821A68"/>
    <w:rsid w:val="00885B4F"/>
    <w:rsid w:val="00AB2771"/>
    <w:rsid w:val="00D829E7"/>
    <w:rsid w:val="00DE31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FBE4C"/>
  <w15:chartTrackingRefBased/>
  <w15:docId w15:val="{4F5CCA16-085B-8D45-B663-EF1CA801E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5B4F"/>
  </w:style>
  <w:style w:type="paragraph" w:styleId="Heading1">
    <w:name w:val="heading 1"/>
    <w:basedOn w:val="Normal"/>
    <w:next w:val="Normal"/>
    <w:link w:val="Heading1Char"/>
    <w:uiPriority w:val="9"/>
    <w:qFormat/>
    <w:rsid w:val="00885B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5B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5B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5B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5B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5B4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5B4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5B4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5B4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5B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5B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5B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5B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5B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5B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5B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5B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5B4F"/>
    <w:rPr>
      <w:rFonts w:eastAsiaTheme="majorEastAsia" w:cstheme="majorBidi"/>
      <w:color w:val="272727" w:themeColor="text1" w:themeTint="D8"/>
    </w:rPr>
  </w:style>
  <w:style w:type="paragraph" w:styleId="Title">
    <w:name w:val="Title"/>
    <w:basedOn w:val="Normal"/>
    <w:next w:val="Normal"/>
    <w:link w:val="TitleChar"/>
    <w:uiPriority w:val="10"/>
    <w:qFormat/>
    <w:rsid w:val="00885B4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5B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5B4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5B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5B4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85B4F"/>
    <w:rPr>
      <w:i/>
      <w:iCs/>
      <w:color w:val="404040" w:themeColor="text1" w:themeTint="BF"/>
    </w:rPr>
  </w:style>
  <w:style w:type="paragraph" w:styleId="ListParagraph">
    <w:name w:val="List Paragraph"/>
    <w:basedOn w:val="Normal"/>
    <w:uiPriority w:val="34"/>
    <w:qFormat/>
    <w:rsid w:val="00885B4F"/>
    <w:pPr>
      <w:ind w:left="720"/>
      <w:contextualSpacing/>
    </w:pPr>
  </w:style>
  <w:style w:type="character" w:styleId="IntenseEmphasis">
    <w:name w:val="Intense Emphasis"/>
    <w:basedOn w:val="DefaultParagraphFont"/>
    <w:uiPriority w:val="21"/>
    <w:qFormat/>
    <w:rsid w:val="00885B4F"/>
    <w:rPr>
      <w:i/>
      <w:iCs/>
      <w:color w:val="0F4761" w:themeColor="accent1" w:themeShade="BF"/>
    </w:rPr>
  </w:style>
  <w:style w:type="paragraph" w:styleId="IntenseQuote">
    <w:name w:val="Intense Quote"/>
    <w:basedOn w:val="Normal"/>
    <w:next w:val="Normal"/>
    <w:link w:val="IntenseQuoteChar"/>
    <w:uiPriority w:val="30"/>
    <w:qFormat/>
    <w:rsid w:val="00885B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5B4F"/>
    <w:rPr>
      <w:i/>
      <w:iCs/>
      <w:color w:val="0F4761" w:themeColor="accent1" w:themeShade="BF"/>
    </w:rPr>
  </w:style>
  <w:style w:type="character" w:styleId="IntenseReference">
    <w:name w:val="Intense Reference"/>
    <w:basedOn w:val="DefaultParagraphFont"/>
    <w:uiPriority w:val="32"/>
    <w:qFormat/>
    <w:rsid w:val="00885B4F"/>
    <w:rPr>
      <w:b/>
      <w:bCs/>
      <w:smallCaps/>
      <w:color w:val="0F4761" w:themeColor="accent1" w:themeShade="BF"/>
      <w:spacing w:val="5"/>
    </w:rPr>
  </w:style>
  <w:style w:type="character" w:customStyle="1" w:styleId="casenumber">
    <w:name w:val="casenumber"/>
    <w:basedOn w:val="DefaultParagraphFont"/>
    <w:rsid w:val="00885B4F"/>
  </w:style>
  <w:style w:type="character" w:customStyle="1" w:styleId="apple-converted-space">
    <w:name w:val="apple-converted-space"/>
    <w:basedOn w:val="DefaultParagraphFont"/>
    <w:rsid w:val="00885B4F"/>
  </w:style>
  <w:style w:type="character" w:customStyle="1" w:styleId="description">
    <w:name w:val="description"/>
    <w:basedOn w:val="DefaultParagraphFont"/>
    <w:rsid w:val="00885B4F"/>
  </w:style>
  <w:style w:type="character" w:customStyle="1" w:styleId="address">
    <w:name w:val="address"/>
    <w:basedOn w:val="DefaultParagraphFont"/>
    <w:rsid w:val="00885B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4</Pages>
  <Words>1300</Words>
  <Characters>7890</Characters>
  <Application>Microsoft Office Word</Application>
  <DocSecurity>0</DocSecurity>
  <Lines>174</Lines>
  <Paragraphs>76</Paragraphs>
  <ScaleCrop>false</ScaleCrop>
  <Company/>
  <LinksUpToDate>false</LinksUpToDate>
  <CharactersWithSpaces>9193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Kudzai Chivenga</dc:creator>
  <cp:keywords/>
  <dc:description/>
  <cp:lastModifiedBy>Gibbings-Gardner, Aaliyah (EXT)</cp:lastModifiedBy>
  <cp:revision>4</cp:revision>
  <dcterms:created xsi:type="dcterms:W3CDTF">2025-12-22T11:14:00Z</dcterms:created>
  <dcterms:modified xsi:type="dcterms:W3CDTF">2025-12-22T16:46:00Z</dcterms:modified>
</cp:coreProperties>
</file>