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E438" w14:textId="77777777" w:rsidR="002B50F6" w:rsidRDefault="002B50F6">
      <w:pPr>
        <w:rPr>
          <w:rStyle w:val="casenumber"/>
          <w:rFonts w:cs="Tahoma"/>
          <w:b/>
          <w:bCs/>
          <w:color w:val="000000"/>
          <w:shd w:val="clear" w:color="auto" w:fill="FFFFFF"/>
        </w:rPr>
      </w:pPr>
    </w:p>
    <w:p w14:paraId="1A38F0E1" w14:textId="6C6F1E7F" w:rsidR="007D5370" w:rsidRPr="002B50F6" w:rsidRDefault="007D5370">
      <w:pPr>
        <w:rPr>
          <w:rStyle w:val="description"/>
          <w:rFonts w:cs="Tahoma"/>
          <w:b/>
          <w:bCs/>
          <w:color w:val="000000"/>
          <w:shd w:val="clear" w:color="auto" w:fill="FFFFFF"/>
        </w:rPr>
      </w:pPr>
      <w:r w:rsidRPr="007D5370">
        <w:rPr>
          <w:rStyle w:val="casenumber"/>
          <w:rFonts w:cs="Tahoma"/>
          <w:b/>
          <w:bCs/>
          <w:color w:val="000000"/>
          <w:shd w:val="clear" w:color="auto" w:fill="FFFFFF"/>
        </w:rPr>
        <w:t>25/00874/OUT</w:t>
      </w:r>
      <w:r w:rsidRPr="009D1945">
        <w:rPr>
          <w:rStyle w:val="casenumber"/>
          <w:rFonts w:cs="Tahoma"/>
          <w:b/>
          <w:bCs/>
          <w:color w:val="000000"/>
          <w:shd w:val="clear" w:color="auto" w:fill="FFFFFF"/>
        </w:rPr>
        <w:t>M</w:t>
      </w:r>
      <w:r w:rsidRPr="009D1945">
        <w:rPr>
          <w:rStyle w:val="divider1"/>
          <w:rFonts w:cs="Tahoma"/>
          <w:b/>
          <w:bCs/>
          <w:color w:val="000000"/>
          <w:bdr w:val="none" w:sz="0" w:space="0" w:color="auto" w:frame="1"/>
          <w:shd w:val="clear" w:color="auto" w:fill="FFFFFF"/>
        </w:rPr>
        <w:t>|</w:t>
      </w:r>
      <w:r>
        <w:rPr>
          <w:rStyle w:val="divider1"/>
          <w:rFonts w:cs="Tahoma"/>
          <w:color w:val="000000"/>
          <w:bdr w:val="none" w:sz="0" w:space="0" w:color="auto" w:frame="1"/>
          <w:shd w:val="clear" w:color="auto" w:fill="FFFFFF"/>
        </w:rPr>
        <w:t xml:space="preserve"> </w:t>
      </w:r>
      <w:r w:rsidRPr="002B50F6">
        <w:rPr>
          <w:rStyle w:val="description"/>
          <w:rFonts w:cs="Tahoma"/>
          <w:b/>
          <w:bCs/>
          <w:color w:val="000000"/>
          <w:shd w:val="clear" w:color="auto" w:fill="FFFFFF"/>
        </w:rPr>
        <w:t>Outline planning for up to 550 residential dwellings, land for an 80-unit extra care facility, land for a community shop, land for an electric vehicle car club, associated access, infrastructure, open space, landscaping and drainage.</w:t>
      </w:r>
    </w:p>
    <w:p w14:paraId="5E9F75FC" w14:textId="65126A59" w:rsidR="00A768B1" w:rsidRDefault="007D5370">
      <w:pPr>
        <w:rPr>
          <w:rStyle w:val="address"/>
          <w:rFonts w:cs="Tahoma"/>
          <w:b/>
          <w:bCs/>
          <w:color w:val="000000" w:themeColor="text1"/>
          <w:shd w:val="clear" w:color="auto" w:fill="FFFFFF"/>
        </w:rPr>
      </w:pPr>
      <w:r w:rsidRPr="007D5370">
        <w:rPr>
          <w:rStyle w:val="address"/>
          <w:rFonts w:cs="Tahoma"/>
          <w:b/>
          <w:bCs/>
          <w:color w:val="000000" w:themeColor="text1"/>
          <w:shd w:val="clear" w:color="auto" w:fill="FFFFFF"/>
        </w:rPr>
        <w:t xml:space="preserve">Land At Heath House Lane, </w:t>
      </w:r>
      <w:proofErr w:type="spellStart"/>
      <w:r w:rsidRPr="007D5370">
        <w:rPr>
          <w:rStyle w:val="address"/>
          <w:rFonts w:cs="Tahoma"/>
          <w:b/>
          <w:bCs/>
          <w:color w:val="000000" w:themeColor="text1"/>
          <w:shd w:val="clear" w:color="auto" w:fill="FFFFFF"/>
        </w:rPr>
        <w:t>Codsall</w:t>
      </w:r>
      <w:proofErr w:type="spellEnd"/>
    </w:p>
    <w:p w14:paraId="17E20C78" w14:textId="77777777" w:rsidR="004C45B6" w:rsidRPr="004C45B6" w:rsidRDefault="004C45B6" w:rsidP="004C45B6">
      <w:pPr>
        <w:rPr>
          <w:rStyle w:val="address"/>
          <w:rFonts w:cs="Tahoma"/>
          <w:b/>
          <w:bCs/>
          <w:color w:val="000000" w:themeColor="text1"/>
          <w:shd w:val="clear" w:color="auto" w:fill="FFFFFF"/>
        </w:rPr>
      </w:pPr>
    </w:p>
    <w:p w14:paraId="56050E11" w14:textId="77777777" w:rsidR="004C45B6" w:rsidRPr="004C45B6" w:rsidRDefault="004C45B6" w:rsidP="004C45B6">
      <w:pPr>
        <w:rPr>
          <w:rStyle w:val="address"/>
          <w:rFonts w:cs="Tahoma"/>
          <w:b/>
          <w:bCs/>
          <w:color w:val="000000" w:themeColor="text1"/>
          <w:shd w:val="clear" w:color="auto" w:fill="FFFFFF"/>
        </w:rPr>
      </w:pPr>
      <w:r w:rsidRPr="004C45B6">
        <w:rPr>
          <w:rStyle w:val="address"/>
          <w:rFonts w:cs="Tahoma"/>
          <w:b/>
          <w:bCs/>
          <w:color w:val="000000" w:themeColor="text1"/>
          <w:shd w:val="clear" w:color="auto" w:fill="FFFFFF"/>
        </w:rPr>
        <w:t>Representations of CPRE Staffordshire, the countryside charity.</w:t>
      </w:r>
    </w:p>
    <w:p w14:paraId="7D83651B" w14:textId="4438ABF8" w:rsidR="00341D9C" w:rsidRPr="00341D9C" w:rsidRDefault="00341D9C" w:rsidP="00341D9C">
      <w:pPr>
        <w:rPr>
          <w:rFonts w:cs="Tahoma"/>
          <w:color w:val="000000" w:themeColor="text1"/>
          <w:shd w:val="clear" w:color="auto" w:fill="FFFFFF"/>
        </w:rPr>
      </w:pPr>
      <w:r w:rsidRPr="00341D9C">
        <w:rPr>
          <w:rFonts w:cs="Tahoma"/>
          <w:color w:val="000000" w:themeColor="text1"/>
          <w:shd w:val="clear" w:color="auto" w:fill="FFFFFF"/>
        </w:rPr>
        <w:t>CPRE Staffordshire appreciates the opportunity to comment on this planning application. While we fully acknowledge the pressures on local authorities to maintain a five-year housing land supply (5YHLS) in accordance with national policy, the current proposal conflicts with the adopted and emerging spatial strategies, as well as national policy, on several grounds</w:t>
      </w:r>
      <w:r>
        <w:rPr>
          <w:rFonts w:cs="Tahoma"/>
          <w:color w:val="000000" w:themeColor="text1"/>
          <w:shd w:val="clear" w:color="auto" w:fill="FFFFFF"/>
        </w:rPr>
        <w:t>.</w:t>
      </w:r>
    </w:p>
    <w:p w14:paraId="34CAB359" w14:textId="247F50BC" w:rsidR="00341D9C" w:rsidRDefault="00621086" w:rsidP="00341D9C">
      <w:pPr>
        <w:pStyle w:val="ListParagraph"/>
        <w:numPr>
          <w:ilvl w:val="0"/>
          <w:numId w:val="4"/>
        </w:numPr>
        <w:rPr>
          <w:rFonts w:cs="Tahoma"/>
          <w:color w:val="000000" w:themeColor="text1"/>
          <w:shd w:val="clear" w:color="auto" w:fill="FFFFFF"/>
        </w:rPr>
      </w:pPr>
      <w:r>
        <w:rPr>
          <w:rFonts w:cs="Tahoma"/>
          <w:color w:val="000000" w:themeColor="text1"/>
          <w:shd w:val="clear" w:color="auto" w:fill="FFFFFF"/>
        </w:rPr>
        <w:t>T</w:t>
      </w:r>
      <w:r w:rsidR="00341D9C" w:rsidRPr="00341D9C">
        <w:rPr>
          <w:rFonts w:cs="Tahoma"/>
          <w:color w:val="000000" w:themeColor="text1"/>
          <w:shd w:val="clear" w:color="auto" w:fill="FFFFFF"/>
        </w:rPr>
        <w:t xml:space="preserve">he site is situated </w:t>
      </w:r>
      <w:r w:rsidR="00341D9C" w:rsidRPr="00C46CAC">
        <w:rPr>
          <w:rFonts w:cs="Tahoma"/>
          <w:b/>
          <w:bCs/>
          <w:color w:val="000000" w:themeColor="text1"/>
          <w:shd w:val="clear" w:color="auto" w:fill="FFFFFF"/>
        </w:rPr>
        <w:t>within the Green Belt</w:t>
      </w:r>
      <w:r w:rsidR="00341D9C" w:rsidRPr="00341D9C">
        <w:rPr>
          <w:rFonts w:cs="Tahoma"/>
          <w:color w:val="000000" w:themeColor="text1"/>
          <w:shd w:val="clear" w:color="auto" w:fill="FFFFFF"/>
        </w:rPr>
        <w:t xml:space="preserve"> as defined in the adopted Local Plan</w:t>
      </w:r>
      <w:r>
        <w:rPr>
          <w:rFonts w:cs="Tahoma"/>
          <w:color w:val="000000" w:themeColor="text1"/>
          <w:shd w:val="clear" w:color="auto" w:fill="FFFFFF"/>
        </w:rPr>
        <w:t xml:space="preserve"> (</w:t>
      </w:r>
      <w:r w:rsidR="00341D9C" w:rsidRPr="00341D9C">
        <w:rPr>
          <w:rFonts w:cs="Tahoma"/>
          <w:color w:val="000000" w:themeColor="text1"/>
          <w:shd w:val="clear" w:color="auto" w:fill="FFFFFF"/>
        </w:rPr>
        <w:t xml:space="preserve">Core </w:t>
      </w:r>
      <w:r w:rsidR="00D73ACE">
        <w:rPr>
          <w:rFonts w:cs="Tahoma"/>
          <w:color w:val="000000" w:themeColor="text1"/>
          <w:shd w:val="clear" w:color="auto" w:fill="FFFFFF"/>
        </w:rPr>
        <w:t>Strategy</w:t>
      </w:r>
      <w:r w:rsidR="00341D9C" w:rsidRPr="00341D9C">
        <w:rPr>
          <w:rFonts w:cs="Tahoma"/>
          <w:color w:val="000000" w:themeColor="text1"/>
          <w:shd w:val="clear" w:color="auto" w:fill="FFFFFF"/>
        </w:rPr>
        <w:t>) and is not allocated for development in the emerging Local Plan (Publication Plan).</w:t>
      </w:r>
    </w:p>
    <w:p w14:paraId="53303E3C" w14:textId="77777777" w:rsidR="00C46CAC" w:rsidRPr="00341D9C" w:rsidRDefault="00C46CAC" w:rsidP="00C46CAC">
      <w:pPr>
        <w:pStyle w:val="ListParagraph"/>
        <w:ind w:left="360"/>
        <w:rPr>
          <w:rFonts w:cs="Tahoma"/>
          <w:color w:val="000000" w:themeColor="text1"/>
          <w:shd w:val="clear" w:color="auto" w:fill="FFFFFF"/>
        </w:rPr>
      </w:pPr>
    </w:p>
    <w:p w14:paraId="5F4F1E98" w14:textId="5F6B5CFB" w:rsidR="00341D9C" w:rsidRDefault="00341D9C" w:rsidP="00621086">
      <w:pPr>
        <w:pStyle w:val="ListParagraph"/>
        <w:numPr>
          <w:ilvl w:val="0"/>
          <w:numId w:val="4"/>
        </w:numPr>
        <w:rPr>
          <w:rFonts w:cs="Tahoma"/>
          <w:color w:val="000000" w:themeColor="text1"/>
          <w:shd w:val="clear" w:color="auto" w:fill="FFFFFF"/>
        </w:rPr>
      </w:pPr>
      <w:r w:rsidRPr="00621086">
        <w:rPr>
          <w:rFonts w:cs="Tahoma"/>
          <w:color w:val="000000" w:themeColor="text1"/>
          <w:shd w:val="clear" w:color="auto" w:fill="FFFFFF"/>
        </w:rPr>
        <w:t xml:space="preserve"> </w:t>
      </w:r>
      <w:r w:rsidR="00621086">
        <w:rPr>
          <w:rFonts w:cs="Tahoma"/>
          <w:color w:val="000000" w:themeColor="text1"/>
          <w:shd w:val="clear" w:color="auto" w:fill="FFFFFF"/>
        </w:rPr>
        <w:t>T</w:t>
      </w:r>
      <w:r w:rsidRPr="00621086">
        <w:rPr>
          <w:rFonts w:cs="Tahoma"/>
          <w:color w:val="000000" w:themeColor="text1"/>
          <w:shd w:val="clear" w:color="auto" w:fill="FFFFFF"/>
        </w:rPr>
        <w:t xml:space="preserve">he emerging Local Plan is currently progressing through examination under the </w:t>
      </w:r>
      <w:r w:rsidRPr="00C46CAC">
        <w:rPr>
          <w:rFonts w:cs="Tahoma"/>
          <w:b/>
          <w:bCs/>
          <w:color w:val="000000" w:themeColor="text1"/>
          <w:shd w:val="clear" w:color="auto" w:fill="FFFFFF"/>
        </w:rPr>
        <w:t>transitional provisions</w:t>
      </w:r>
      <w:r w:rsidRPr="00621086">
        <w:rPr>
          <w:rFonts w:cs="Tahoma"/>
          <w:color w:val="000000" w:themeColor="text1"/>
          <w:shd w:val="clear" w:color="auto" w:fill="FFFFFF"/>
        </w:rPr>
        <w:t xml:space="preserve"> of the National Planning Policy Framework. Since national policy recognises the importance of supporting this plan-led process, determining the application at this stage would be </w:t>
      </w:r>
      <w:r w:rsidRPr="00C46CAC">
        <w:rPr>
          <w:rFonts w:cs="Tahoma"/>
          <w:b/>
          <w:bCs/>
          <w:color w:val="000000" w:themeColor="text1"/>
          <w:shd w:val="clear" w:color="auto" w:fill="FFFFFF"/>
        </w:rPr>
        <w:t>premature</w:t>
      </w:r>
      <w:r w:rsidRPr="00621086">
        <w:rPr>
          <w:rFonts w:cs="Tahoma"/>
          <w:color w:val="000000" w:themeColor="text1"/>
          <w:shd w:val="clear" w:color="auto" w:fill="FFFFFF"/>
        </w:rPr>
        <w:t>.</w:t>
      </w:r>
    </w:p>
    <w:p w14:paraId="762EBBCF" w14:textId="77777777" w:rsidR="00C46CAC" w:rsidRPr="00621086" w:rsidRDefault="00C46CAC" w:rsidP="00C46CAC">
      <w:pPr>
        <w:pStyle w:val="ListParagraph"/>
        <w:ind w:left="360"/>
        <w:rPr>
          <w:rFonts w:cs="Tahoma"/>
          <w:color w:val="000000" w:themeColor="text1"/>
          <w:shd w:val="clear" w:color="auto" w:fill="FFFFFF"/>
        </w:rPr>
      </w:pPr>
    </w:p>
    <w:p w14:paraId="79558F12" w14:textId="6FFE6E91" w:rsidR="00341D9C" w:rsidRPr="00C46CAC" w:rsidRDefault="00341D9C" w:rsidP="00C46CAC">
      <w:pPr>
        <w:pStyle w:val="ListParagraph"/>
        <w:numPr>
          <w:ilvl w:val="0"/>
          <w:numId w:val="4"/>
        </w:numPr>
        <w:rPr>
          <w:rFonts w:cs="Tahoma"/>
          <w:color w:val="000000" w:themeColor="text1"/>
          <w:shd w:val="clear" w:color="auto" w:fill="FFFFFF"/>
        </w:rPr>
      </w:pPr>
      <w:r w:rsidRPr="00C46CAC">
        <w:rPr>
          <w:rFonts w:cs="Tahoma"/>
          <w:color w:val="000000" w:themeColor="text1"/>
          <w:shd w:val="clear" w:color="auto" w:fill="FFFFFF"/>
        </w:rPr>
        <w:t xml:space="preserve"> </w:t>
      </w:r>
      <w:r w:rsidR="00C46CAC">
        <w:rPr>
          <w:rFonts w:cs="Tahoma"/>
          <w:color w:val="000000" w:themeColor="text1"/>
          <w:shd w:val="clear" w:color="auto" w:fill="FFFFFF"/>
        </w:rPr>
        <w:t>T</w:t>
      </w:r>
      <w:r w:rsidRPr="00C46CAC">
        <w:rPr>
          <w:rFonts w:cs="Tahoma"/>
          <w:color w:val="000000" w:themeColor="text1"/>
          <w:shd w:val="clear" w:color="auto" w:fill="FFFFFF"/>
        </w:rPr>
        <w:t xml:space="preserve">he site lies close to the designated </w:t>
      </w:r>
      <w:r w:rsidRPr="00D70E85">
        <w:rPr>
          <w:rFonts w:cs="Tahoma"/>
          <w:b/>
          <w:bCs/>
          <w:color w:val="000000" w:themeColor="text1"/>
          <w:shd w:val="clear" w:color="auto" w:fill="FFFFFF"/>
        </w:rPr>
        <w:t>Conservation Area</w:t>
      </w:r>
      <w:r w:rsidRPr="00C46CAC">
        <w:rPr>
          <w:rFonts w:cs="Tahoma"/>
          <w:color w:val="000000" w:themeColor="text1"/>
          <w:shd w:val="clear" w:color="auto" w:fill="FFFFFF"/>
        </w:rPr>
        <w:t xml:space="preserve"> identified under Policy NB8 (covering the land from Oaken Lanes to Oaken). Development of this scale in such proximity to a protected area would be highly inappropriate and risks harming its historic and rural character.</w:t>
      </w:r>
    </w:p>
    <w:p w14:paraId="2A9B0176" w14:textId="77777777" w:rsidR="003F629E" w:rsidRDefault="003F629E" w:rsidP="003F629E">
      <w:pPr>
        <w:rPr>
          <w:rStyle w:val="address"/>
          <w:rFonts w:cs="Tahoma"/>
          <w:color w:val="000000" w:themeColor="text1"/>
          <w:shd w:val="clear" w:color="auto" w:fill="FFFFFF"/>
        </w:rPr>
      </w:pPr>
    </w:p>
    <w:p w14:paraId="5772B0BA" w14:textId="07BE4CF5" w:rsidR="001C33A8" w:rsidRPr="00245C51" w:rsidRDefault="001C33A8" w:rsidP="003F629E">
      <w:pPr>
        <w:rPr>
          <w:rFonts w:eastAsia="Times New Roman" w:cs="Times New Roman"/>
          <w:b/>
          <w:bCs/>
          <w:kern w:val="0"/>
          <w:sz w:val="28"/>
          <w:szCs w:val="28"/>
          <w:lang w:eastAsia="en-GB"/>
          <w14:ligatures w14:val="none"/>
        </w:rPr>
      </w:pPr>
      <w:r w:rsidRPr="00245C51">
        <w:rPr>
          <w:rFonts w:eastAsia="Times New Roman" w:cs="Times New Roman"/>
          <w:b/>
          <w:bCs/>
          <w:kern w:val="0"/>
          <w:sz w:val="28"/>
          <w:szCs w:val="28"/>
          <w:lang w:eastAsia="en-GB"/>
          <w14:ligatures w14:val="none"/>
        </w:rPr>
        <w:t>Policy context</w:t>
      </w:r>
    </w:p>
    <w:p w14:paraId="440080FD" w14:textId="31AEB3AC" w:rsidR="00897833" w:rsidRPr="00897833" w:rsidRDefault="00897833" w:rsidP="00F42F8E">
      <w:pPr>
        <w:spacing w:before="100" w:beforeAutospacing="1" w:after="100" w:afterAutospacing="1" w:line="240" w:lineRule="auto"/>
        <w:rPr>
          <w:rFonts w:eastAsia="Times New Roman" w:cs="Times New Roman"/>
          <w:kern w:val="0"/>
          <w:lang w:eastAsia="en-GB"/>
          <w14:ligatures w14:val="none"/>
        </w:rPr>
      </w:pPr>
      <w:r w:rsidRPr="00897833">
        <w:rPr>
          <w:rFonts w:eastAsia="Times New Roman" w:cs="Times New Roman"/>
          <w:kern w:val="0"/>
          <w:lang w:eastAsia="en-GB"/>
          <w14:ligatures w14:val="none"/>
        </w:rPr>
        <w:t xml:space="preserve">According to </w:t>
      </w:r>
      <w:r w:rsidR="00EE1C4D" w:rsidRPr="00EE1C4D">
        <w:rPr>
          <w:rFonts w:eastAsia="Times New Roman" w:cs="Times New Roman"/>
          <w:b/>
          <w:bCs/>
          <w:kern w:val="0"/>
          <w:lang w:eastAsia="en-GB"/>
          <w14:ligatures w14:val="none"/>
        </w:rPr>
        <w:t>‘</w:t>
      </w:r>
      <w:r w:rsidRPr="00897833">
        <w:rPr>
          <w:rFonts w:eastAsia="Times New Roman" w:cs="Times New Roman"/>
          <w:b/>
          <w:bCs/>
          <w:kern w:val="0"/>
          <w:lang w:eastAsia="en-GB"/>
          <w14:ligatures w14:val="none"/>
        </w:rPr>
        <w:t>Annexe 1</w:t>
      </w:r>
      <w:r w:rsidR="00EE1C4D">
        <w:rPr>
          <w:rFonts w:eastAsia="Times New Roman" w:cs="Times New Roman"/>
          <w:b/>
          <w:bCs/>
          <w:kern w:val="0"/>
          <w:lang w:eastAsia="en-GB"/>
          <w14:ligatures w14:val="none"/>
        </w:rPr>
        <w:t xml:space="preserve">: Implementation’ </w:t>
      </w:r>
      <w:r w:rsidRPr="00897833">
        <w:rPr>
          <w:rFonts w:eastAsia="Times New Roman" w:cs="Times New Roman"/>
          <w:b/>
          <w:bCs/>
          <w:kern w:val="0"/>
          <w:lang w:eastAsia="en-GB"/>
          <w14:ligatures w14:val="none"/>
        </w:rPr>
        <w:t>of the</w:t>
      </w:r>
      <w:r w:rsidR="00A12590">
        <w:rPr>
          <w:rFonts w:eastAsia="Times New Roman" w:cs="Times New Roman"/>
          <w:b/>
          <w:bCs/>
          <w:kern w:val="0"/>
          <w:lang w:eastAsia="en-GB"/>
          <w14:ligatures w14:val="none"/>
        </w:rPr>
        <w:t xml:space="preserve"> </w:t>
      </w:r>
      <w:r w:rsidRPr="00897833">
        <w:rPr>
          <w:rFonts w:eastAsia="Times New Roman" w:cs="Times New Roman"/>
          <w:b/>
          <w:bCs/>
          <w:kern w:val="0"/>
          <w:lang w:eastAsia="en-GB"/>
          <w14:ligatures w14:val="none"/>
        </w:rPr>
        <w:t>NPPF</w:t>
      </w:r>
      <w:r w:rsidRPr="00897833">
        <w:rPr>
          <w:rFonts w:eastAsia="Times New Roman" w:cs="Times New Roman"/>
          <w:kern w:val="0"/>
          <w:lang w:eastAsia="en-GB"/>
          <w14:ligatures w14:val="none"/>
        </w:rPr>
        <w:t>:</w:t>
      </w:r>
    </w:p>
    <w:p w14:paraId="76C7CDE7" w14:textId="6A3300CA" w:rsidR="008B3FB7" w:rsidRPr="00652F35" w:rsidRDefault="00897833" w:rsidP="00652F35">
      <w:pPr>
        <w:pStyle w:val="ListParagraph"/>
        <w:numPr>
          <w:ilvl w:val="0"/>
          <w:numId w:val="6"/>
        </w:numPr>
        <w:spacing w:before="100" w:beforeAutospacing="1" w:after="100" w:afterAutospacing="1" w:line="240" w:lineRule="auto"/>
        <w:rPr>
          <w:rFonts w:eastAsia="Times New Roman"/>
          <w:i/>
          <w:iCs/>
          <w:kern w:val="0"/>
          <w:lang w:eastAsia="en-GB"/>
          <w14:ligatures w14:val="none"/>
        </w:rPr>
      </w:pPr>
      <w:r w:rsidRPr="00652F35">
        <w:rPr>
          <w:rFonts w:eastAsia="Times New Roman" w:cs="Times New Roman"/>
          <w:b/>
          <w:bCs/>
          <w:kern w:val="0"/>
          <w:lang w:eastAsia="en-GB"/>
          <w14:ligatures w14:val="none"/>
        </w:rPr>
        <w:t>Paragraph 234</w:t>
      </w:r>
      <w:r w:rsidR="00A12843" w:rsidRPr="00652F35">
        <w:rPr>
          <w:rFonts w:eastAsia="Times New Roman"/>
          <w:b/>
          <w:bCs/>
          <w:kern w:val="0"/>
          <w:lang w:eastAsia="en-GB"/>
          <w14:ligatures w14:val="none"/>
        </w:rPr>
        <w:t xml:space="preserve">. </w:t>
      </w:r>
      <w:proofErr w:type="gramStart"/>
      <w:r w:rsidR="00A12843" w:rsidRPr="00652F35">
        <w:rPr>
          <w:rFonts w:eastAsia="Times New Roman"/>
          <w:i/>
          <w:iCs/>
          <w:kern w:val="0"/>
          <w:lang w:eastAsia="en-GB"/>
          <w14:ligatures w14:val="none"/>
        </w:rPr>
        <w:t>For the purpose of</w:t>
      </w:r>
      <w:proofErr w:type="gramEnd"/>
      <w:r w:rsidR="00A12843" w:rsidRPr="00652F35">
        <w:rPr>
          <w:rFonts w:eastAsia="Times New Roman"/>
          <w:i/>
          <w:iCs/>
          <w:kern w:val="0"/>
          <w:lang w:eastAsia="en-GB"/>
          <w14:ligatures w14:val="none"/>
        </w:rPr>
        <w:t xml:space="preserve"> preparing local plans, the policies in this version of the Framework will apply </w:t>
      </w:r>
      <w:r w:rsidR="00A12843" w:rsidRPr="00652F35">
        <w:rPr>
          <w:rFonts w:eastAsia="Times New Roman"/>
          <w:b/>
          <w:bCs/>
          <w:i/>
          <w:iCs/>
          <w:kern w:val="0"/>
          <w:lang w:eastAsia="en-GB"/>
          <w14:ligatures w14:val="none"/>
        </w:rPr>
        <w:t>from 12 March 2025</w:t>
      </w:r>
      <w:r w:rsidR="008B3FB7" w:rsidRPr="00652F35">
        <w:rPr>
          <w:rFonts w:eastAsia="Times New Roman"/>
          <w:i/>
          <w:iCs/>
          <w:kern w:val="0"/>
          <w:lang w:eastAsia="en-GB"/>
          <w14:ligatures w14:val="none"/>
        </w:rPr>
        <w:t>,</w:t>
      </w:r>
      <w:r w:rsidR="00A12843" w:rsidRPr="00652F35">
        <w:rPr>
          <w:rFonts w:eastAsia="Times New Roman"/>
          <w:i/>
          <w:iCs/>
          <w:kern w:val="0"/>
          <w:lang w:eastAsia="en-GB"/>
          <w14:ligatures w14:val="none"/>
        </w:rPr>
        <w:t xml:space="preserve"> other than where one or more of the following apply:</w:t>
      </w:r>
    </w:p>
    <w:p w14:paraId="7E89B7DB" w14:textId="09C94454" w:rsidR="00A12843" w:rsidRPr="00A12843" w:rsidRDefault="00A12843" w:rsidP="005569F0">
      <w:pPr>
        <w:spacing w:before="100" w:beforeAutospacing="1" w:after="100" w:afterAutospacing="1" w:line="240" w:lineRule="auto"/>
        <w:ind w:left="1003"/>
        <w:rPr>
          <w:rFonts w:eastAsia="Times New Roman"/>
          <w:i/>
          <w:iCs/>
          <w:kern w:val="0"/>
          <w:lang w:eastAsia="en-GB"/>
          <w14:ligatures w14:val="none"/>
        </w:rPr>
      </w:pPr>
      <w:r w:rsidRPr="00A12843">
        <w:rPr>
          <w:rFonts w:eastAsia="Times New Roman" w:cs="Times New Roman"/>
          <w:i/>
          <w:iCs/>
          <w:kern w:val="0"/>
          <w:lang w:eastAsia="en-GB"/>
          <w14:ligatures w14:val="none"/>
        </w:rPr>
        <w:t>a. the plan has reached Regulation 19</w:t>
      </w:r>
      <w:r w:rsidRPr="00A12843">
        <w:rPr>
          <w:rFonts w:eastAsia="Times New Roman" w:cs="Times New Roman"/>
          <w:i/>
          <w:iCs/>
          <w:kern w:val="0"/>
          <w:vertAlign w:val="superscript"/>
          <w:lang w:eastAsia="en-GB"/>
          <w14:ligatures w14:val="none"/>
        </w:rPr>
        <w:t> </w:t>
      </w:r>
      <w:r w:rsidRPr="00A12843">
        <w:rPr>
          <w:rFonts w:eastAsia="Times New Roman" w:cs="Times New Roman"/>
          <w:i/>
          <w:iCs/>
          <w:kern w:val="0"/>
          <w:lang w:eastAsia="en-GB"/>
          <w14:ligatures w14:val="none"/>
        </w:rPr>
        <w:t xml:space="preserve">(pre-submission stage) on or before 12 March 2025, and its draft housing requirement meets at least 80% of local housing </w:t>
      </w:r>
      <w:proofErr w:type="gramStart"/>
      <w:r w:rsidRPr="00A12843">
        <w:rPr>
          <w:rFonts w:eastAsia="Times New Roman" w:cs="Times New Roman"/>
          <w:i/>
          <w:iCs/>
          <w:kern w:val="0"/>
          <w:lang w:eastAsia="en-GB"/>
          <w14:ligatures w14:val="none"/>
        </w:rPr>
        <w:t>need</w:t>
      </w:r>
      <w:r w:rsidRPr="00A12843">
        <w:rPr>
          <w:rFonts w:eastAsia="Times New Roman" w:cs="Times New Roman"/>
          <w:i/>
          <w:iCs/>
          <w:kern w:val="0"/>
          <w:vertAlign w:val="superscript"/>
          <w:lang w:eastAsia="en-GB"/>
          <w14:ligatures w14:val="none"/>
        </w:rPr>
        <w:t> </w:t>
      </w:r>
      <w:r w:rsidRPr="00A12843">
        <w:rPr>
          <w:rFonts w:eastAsia="Times New Roman" w:cs="Times New Roman"/>
          <w:i/>
          <w:iCs/>
          <w:kern w:val="0"/>
          <w:lang w:eastAsia="en-GB"/>
          <w14:ligatures w14:val="none"/>
        </w:rPr>
        <w:t>;</w:t>
      </w:r>
      <w:proofErr w:type="gramEnd"/>
    </w:p>
    <w:p w14:paraId="045F383C" w14:textId="672BD31C" w:rsidR="00A12843" w:rsidRPr="00A12843" w:rsidRDefault="00A12843" w:rsidP="005569F0">
      <w:pPr>
        <w:spacing w:before="100" w:beforeAutospacing="1" w:after="100" w:afterAutospacing="1" w:line="240" w:lineRule="auto"/>
        <w:ind w:left="1003"/>
        <w:rPr>
          <w:rFonts w:eastAsia="Times New Roman" w:cs="Times New Roman"/>
          <w:i/>
          <w:iCs/>
          <w:kern w:val="0"/>
          <w:lang w:eastAsia="en-GB"/>
          <w14:ligatures w14:val="none"/>
        </w:rPr>
      </w:pPr>
      <w:r w:rsidRPr="00A12843">
        <w:rPr>
          <w:rFonts w:eastAsia="Times New Roman" w:cs="Times New Roman"/>
          <w:i/>
          <w:iCs/>
          <w:kern w:val="0"/>
          <w:lang w:eastAsia="en-GB"/>
          <w14:ligatures w14:val="none"/>
        </w:rPr>
        <w:lastRenderedPageBreak/>
        <w:t xml:space="preserve">b. the plan has been submitted for examination under Regulation </w:t>
      </w:r>
      <w:proofErr w:type="gramStart"/>
      <w:r w:rsidRPr="00A12843">
        <w:rPr>
          <w:rFonts w:eastAsia="Times New Roman" w:cs="Times New Roman"/>
          <w:i/>
          <w:iCs/>
          <w:kern w:val="0"/>
          <w:lang w:eastAsia="en-GB"/>
          <w14:ligatures w14:val="none"/>
        </w:rPr>
        <w:t>22</w:t>
      </w:r>
      <w:r w:rsidRPr="00A12843">
        <w:rPr>
          <w:rFonts w:eastAsia="Times New Roman" w:cs="Times New Roman"/>
          <w:i/>
          <w:iCs/>
          <w:kern w:val="0"/>
          <w:vertAlign w:val="superscript"/>
          <w:lang w:eastAsia="en-GB"/>
          <w14:ligatures w14:val="none"/>
        </w:rPr>
        <w:t> </w:t>
      </w:r>
      <w:r w:rsidR="008B3FB7" w:rsidRPr="008B3FB7">
        <w:rPr>
          <w:rFonts w:eastAsia="Times New Roman" w:cs="Times New Roman"/>
          <w:i/>
          <w:iCs/>
          <w:kern w:val="0"/>
          <w:vertAlign w:val="superscript"/>
          <w:lang w:eastAsia="en-GB"/>
          <w14:ligatures w14:val="none"/>
        </w:rPr>
        <w:t xml:space="preserve"> </w:t>
      </w:r>
      <w:r w:rsidRPr="00A12843">
        <w:rPr>
          <w:rFonts w:eastAsia="Times New Roman" w:cs="Times New Roman"/>
          <w:i/>
          <w:iCs/>
          <w:kern w:val="0"/>
          <w:lang w:eastAsia="en-GB"/>
          <w14:ligatures w14:val="none"/>
        </w:rPr>
        <w:t>on</w:t>
      </w:r>
      <w:proofErr w:type="gramEnd"/>
      <w:r w:rsidRPr="00A12843">
        <w:rPr>
          <w:rFonts w:eastAsia="Times New Roman" w:cs="Times New Roman"/>
          <w:i/>
          <w:iCs/>
          <w:kern w:val="0"/>
          <w:lang w:eastAsia="en-GB"/>
          <w14:ligatures w14:val="none"/>
        </w:rPr>
        <w:t xml:space="preserve"> or before 12 March </w:t>
      </w:r>
      <w:proofErr w:type="gramStart"/>
      <w:r w:rsidRPr="00A12843">
        <w:rPr>
          <w:rFonts w:eastAsia="Times New Roman" w:cs="Times New Roman"/>
          <w:i/>
          <w:iCs/>
          <w:kern w:val="0"/>
          <w:lang w:eastAsia="en-GB"/>
          <w14:ligatures w14:val="none"/>
        </w:rPr>
        <w:t>2025;</w:t>
      </w:r>
      <w:proofErr w:type="gramEnd"/>
    </w:p>
    <w:p w14:paraId="53FD0A05" w14:textId="77777777" w:rsidR="00A12843" w:rsidRPr="00A12843" w:rsidRDefault="00A12843" w:rsidP="005569F0">
      <w:pPr>
        <w:spacing w:before="100" w:beforeAutospacing="1" w:after="100" w:afterAutospacing="1" w:line="240" w:lineRule="auto"/>
        <w:ind w:left="1003"/>
        <w:rPr>
          <w:rFonts w:eastAsia="Times New Roman" w:cs="Times New Roman"/>
          <w:i/>
          <w:iCs/>
          <w:kern w:val="0"/>
          <w:lang w:eastAsia="en-GB"/>
          <w14:ligatures w14:val="none"/>
        </w:rPr>
      </w:pPr>
      <w:r w:rsidRPr="00A12843">
        <w:rPr>
          <w:rFonts w:eastAsia="Times New Roman" w:cs="Times New Roman"/>
          <w:i/>
          <w:iCs/>
          <w:kern w:val="0"/>
          <w:lang w:eastAsia="en-GB"/>
          <w14:ligatures w14:val="none"/>
        </w:rPr>
        <w:t xml:space="preserve">c. the plan includes policies to deliver the level of housing and other development set out in a preceding local plan (such as a joint local plan containing strategic policies) adopted since 12 March </w:t>
      </w:r>
      <w:proofErr w:type="gramStart"/>
      <w:r w:rsidRPr="00A12843">
        <w:rPr>
          <w:rFonts w:eastAsia="Times New Roman" w:cs="Times New Roman"/>
          <w:i/>
          <w:iCs/>
          <w:kern w:val="0"/>
          <w:lang w:eastAsia="en-GB"/>
          <w14:ligatures w14:val="none"/>
        </w:rPr>
        <w:t>2020;</w:t>
      </w:r>
      <w:proofErr w:type="gramEnd"/>
    </w:p>
    <w:p w14:paraId="2D7652CF" w14:textId="77777777" w:rsidR="00A12843" w:rsidRPr="00A12843" w:rsidRDefault="00A12843" w:rsidP="005569F0">
      <w:pPr>
        <w:spacing w:before="100" w:beforeAutospacing="1" w:after="100" w:afterAutospacing="1" w:line="240" w:lineRule="auto"/>
        <w:ind w:left="1003"/>
        <w:rPr>
          <w:rFonts w:eastAsia="Times New Roman" w:cs="Times New Roman"/>
          <w:i/>
          <w:iCs/>
          <w:kern w:val="0"/>
          <w:lang w:eastAsia="en-GB"/>
          <w14:ligatures w14:val="none"/>
        </w:rPr>
      </w:pPr>
      <w:r w:rsidRPr="00A12843">
        <w:rPr>
          <w:rFonts w:eastAsia="Times New Roman" w:cs="Times New Roman"/>
          <w:i/>
          <w:iCs/>
          <w:kern w:val="0"/>
          <w:lang w:eastAsia="en-GB"/>
          <w14:ligatures w14:val="none"/>
        </w:rPr>
        <w:t xml:space="preserve">d. the local plan is for an area where there is an operative Spatial Development </w:t>
      </w:r>
      <w:proofErr w:type="gramStart"/>
      <w:r w:rsidRPr="00A12843">
        <w:rPr>
          <w:rFonts w:eastAsia="Times New Roman" w:cs="Times New Roman"/>
          <w:i/>
          <w:iCs/>
          <w:kern w:val="0"/>
          <w:lang w:eastAsia="en-GB"/>
          <w14:ligatures w14:val="none"/>
        </w:rPr>
        <w:t>Strategy</w:t>
      </w:r>
      <w:proofErr w:type="gramEnd"/>
      <w:r w:rsidRPr="00A12843">
        <w:rPr>
          <w:rFonts w:eastAsia="Times New Roman" w:cs="Times New Roman"/>
          <w:i/>
          <w:iCs/>
          <w:kern w:val="0"/>
          <w:lang w:eastAsia="en-GB"/>
          <w14:ligatures w14:val="none"/>
        </w:rPr>
        <w:t xml:space="preserve"> and the local plan has reached Regulation 19 (pre-submission stage) on or before 12 March </w:t>
      </w:r>
      <w:proofErr w:type="gramStart"/>
      <w:r w:rsidRPr="00A12843">
        <w:rPr>
          <w:rFonts w:eastAsia="Times New Roman" w:cs="Times New Roman"/>
          <w:i/>
          <w:iCs/>
          <w:kern w:val="0"/>
          <w:lang w:eastAsia="en-GB"/>
          <w14:ligatures w14:val="none"/>
        </w:rPr>
        <w:t>2025;</w:t>
      </w:r>
      <w:proofErr w:type="gramEnd"/>
      <w:r w:rsidRPr="00A12843">
        <w:rPr>
          <w:rFonts w:eastAsia="Times New Roman" w:cs="Times New Roman"/>
          <w:i/>
          <w:iCs/>
          <w:kern w:val="0"/>
          <w:lang w:eastAsia="en-GB"/>
          <w14:ligatures w14:val="none"/>
        </w:rPr>
        <w:t xml:space="preserve"> or</w:t>
      </w:r>
    </w:p>
    <w:p w14:paraId="240F7FEB" w14:textId="4ADF3B62" w:rsidR="00A12843" w:rsidRDefault="00A12843" w:rsidP="005569F0">
      <w:pPr>
        <w:spacing w:before="100" w:beforeAutospacing="1" w:after="100" w:afterAutospacing="1" w:line="240" w:lineRule="auto"/>
        <w:ind w:left="1003"/>
        <w:rPr>
          <w:rFonts w:eastAsia="Times New Roman" w:cs="Times New Roman"/>
          <w:i/>
          <w:iCs/>
          <w:kern w:val="0"/>
          <w:lang w:eastAsia="en-GB"/>
          <w14:ligatures w14:val="none"/>
        </w:rPr>
      </w:pPr>
      <w:r w:rsidRPr="00A12843">
        <w:rPr>
          <w:rFonts w:eastAsia="Times New Roman" w:cs="Times New Roman"/>
          <w:i/>
          <w:iCs/>
          <w:kern w:val="0"/>
          <w:lang w:eastAsia="en-GB"/>
          <w14:ligatures w14:val="none"/>
        </w:rPr>
        <w:t>e. the plan deals only with minerals and/or waste matters and has reached Regulation 19 on or before 12 March 2025; or has been submitted for examination under Regulation 22 on or before 12 March 2025.</w:t>
      </w:r>
    </w:p>
    <w:p w14:paraId="0DB6DA61" w14:textId="64619D0D" w:rsidR="00D02112" w:rsidRDefault="005569F0" w:rsidP="00652F35">
      <w:pPr>
        <w:pStyle w:val="ListParagraph"/>
        <w:numPr>
          <w:ilvl w:val="0"/>
          <w:numId w:val="6"/>
        </w:numPr>
        <w:spacing w:before="100" w:beforeAutospacing="1" w:after="100" w:afterAutospacing="1" w:line="240" w:lineRule="auto"/>
        <w:rPr>
          <w:rFonts w:eastAsia="Times New Roman" w:cs="Times New Roman"/>
          <w:i/>
          <w:iCs/>
          <w:kern w:val="0"/>
          <w:lang w:eastAsia="en-GB"/>
          <w14:ligatures w14:val="none"/>
        </w:rPr>
      </w:pPr>
      <w:r w:rsidRPr="00652F35">
        <w:rPr>
          <w:rFonts w:eastAsia="Times New Roman" w:cs="Times New Roman"/>
          <w:b/>
          <w:bCs/>
          <w:kern w:val="0"/>
          <w:lang w:eastAsia="en-GB"/>
          <w14:ligatures w14:val="none"/>
        </w:rPr>
        <w:t xml:space="preserve">235. </w:t>
      </w:r>
      <w:r w:rsidRPr="00652F35">
        <w:rPr>
          <w:rFonts w:eastAsia="Times New Roman" w:cs="Times New Roman"/>
          <w:i/>
          <w:iCs/>
          <w:kern w:val="0"/>
          <w:lang w:eastAsia="en-GB"/>
          <w14:ligatures w14:val="none"/>
        </w:rPr>
        <w:t>Where paragraph 234 a, b, c, d or e applies, the plan will be examined under the relevant previous version of the Framework.</w:t>
      </w:r>
    </w:p>
    <w:p w14:paraId="7C262786" w14:textId="77777777" w:rsidR="00EE1C4D" w:rsidRDefault="00EE1C4D" w:rsidP="00EE1C4D">
      <w:pPr>
        <w:pStyle w:val="ListParagraph"/>
        <w:spacing w:before="100" w:beforeAutospacing="1" w:after="100" w:afterAutospacing="1" w:line="240" w:lineRule="auto"/>
        <w:ind w:left="1069"/>
        <w:rPr>
          <w:rFonts w:eastAsia="Times New Roman" w:cs="Times New Roman"/>
          <w:i/>
          <w:iCs/>
          <w:kern w:val="0"/>
          <w:lang w:eastAsia="en-GB"/>
          <w14:ligatures w14:val="none"/>
        </w:rPr>
      </w:pPr>
    </w:p>
    <w:p w14:paraId="510FEF7D" w14:textId="01B8FBDD" w:rsidR="005C3AC1" w:rsidRPr="00941967" w:rsidRDefault="00EE1C4D" w:rsidP="009D5ED9">
      <w:pPr>
        <w:pStyle w:val="ListParagraph"/>
        <w:numPr>
          <w:ilvl w:val="0"/>
          <w:numId w:val="6"/>
        </w:numPr>
        <w:spacing w:before="100" w:beforeAutospacing="1" w:after="100" w:afterAutospacing="1" w:line="240" w:lineRule="auto"/>
        <w:rPr>
          <w:rFonts w:eastAsia="Times New Roman" w:cs="Times New Roman"/>
          <w:i/>
          <w:iCs/>
          <w:kern w:val="0"/>
          <w:lang w:eastAsia="en-GB"/>
          <w14:ligatures w14:val="none"/>
        </w:rPr>
      </w:pPr>
      <w:r w:rsidRPr="00EE1C4D">
        <w:rPr>
          <w:rFonts w:eastAsia="Times New Roman" w:cs="Times New Roman"/>
          <w:b/>
          <w:bCs/>
          <w:i/>
          <w:iCs/>
          <w:kern w:val="0"/>
          <w:lang w:eastAsia="en-GB"/>
          <w14:ligatures w14:val="none"/>
        </w:rPr>
        <w:t>237</w:t>
      </w:r>
      <w:r w:rsidRPr="00EE1C4D">
        <w:rPr>
          <w:rFonts w:eastAsia="Times New Roman" w:cs="Times New Roman"/>
          <w:i/>
          <w:iCs/>
          <w:kern w:val="0"/>
          <w:lang w:eastAsia="en-GB"/>
          <w14:ligatures w14:val="none"/>
        </w:rPr>
        <w:t xml:space="preserve">. Those local plans that reach Regulation 19 (pre-submission stage) on or before 12 March 2025 and whose draft housing </w:t>
      </w:r>
      <w:proofErr w:type="gramStart"/>
      <w:r w:rsidRPr="00EE1C4D">
        <w:rPr>
          <w:rFonts w:eastAsia="Times New Roman" w:cs="Times New Roman"/>
          <w:i/>
          <w:iCs/>
          <w:kern w:val="0"/>
          <w:lang w:eastAsia="en-GB"/>
          <w14:ligatures w14:val="none"/>
        </w:rPr>
        <w:t>requirement</w:t>
      </w:r>
      <w:r w:rsidRPr="00EE1C4D">
        <w:rPr>
          <w:rFonts w:eastAsia="Times New Roman" w:cs="Times New Roman"/>
          <w:i/>
          <w:iCs/>
          <w:kern w:val="0"/>
          <w:vertAlign w:val="superscript"/>
          <w:lang w:eastAsia="en-GB"/>
          <w14:ligatures w14:val="none"/>
        </w:rPr>
        <w:t>  </w:t>
      </w:r>
      <w:r w:rsidRPr="00EE1C4D">
        <w:rPr>
          <w:rFonts w:eastAsia="Times New Roman" w:cs="Times New Roman"/>
          <w:i/>
          <w:iCs/>
          <w:kern w:val="0"/>
          <w:lang w:eastAsia="en-GB"/>
          <w14:ligatures w14:val="none"/>
        </w:rPr>
        <w:t>meets</w:t>
      </w:r>
      <w:proofErr w:type="gramEnd"/>
      <w:r w:rsidRPr="00EE1C4D">
        <w:rPr>
          <w:rFonts w:eastAsia="Times New Roman" w:cs="Times New Roman"/>
          <w:i/>
          <w:iCs/>
          <w:kern w:val="0"/>
          <w:lang w:eastAsia="en-GB"/>
          <w14:ligatures w14:val="none"/>
        </w:rPr>
        <w:t xml:space="preserve"> less than 80% of local housing need should proceed to examination within a maximum of 18 months from 12 December 2024</w:t>
      </w:r>
      <w:r w:rsidRPr="00941967">
        <w:rPr>
          <w:rFonts w:eastAsia="Times New Roman" w:cs="Times New Roman"/>
          <w:i/>
          <w:iCs/>
          <w:kern w:val="0"/>
          <w:lang w:eastAsia="en-GB"/>
          <w14:ligatures w14:val="none"/>
        </w:rPr>
        <w:t xml:space="preserve">, or 24 months of that date if the plan </w:t>
      </w:r>
      <w:proofErr w:type="gramStart"/>
      <w:r w:rsidRPr="00941967">
        <w:rPr>
          <w:rFonts w:eastAsia="Times New Roman" w:cs="Times New Roman"/>
          <w:i/>
          <w:iCs/>
          <w:kern w:val="0"/>
          <w:lang w:eastAsia="en-GB"/>
          <w14:ligatures w14:val="none"/>
        </w:rPr>
        <w:t>has to</w:t>
      </w:r>
      <w:proofErr w:type="gramEnd"/>
      <w:r w:rsidRPr="00941967">
        <w:rPr>
          <w:rFonts w:eastAsia="Times New Roman" w:cs="Times New Roman"/>
          <w:i/>
          <w:iCs/>
          <w:kern w:val="0"/>
          <w:lang w:eastAsia="en-GB"/>
          <w14:ligatures w14:val="none"/>
        </w:rPr>
        <w:t xml:space="preserve"> return to the Regulation 18 stage</w:t>
      </w:r>
    </w:p>
    <w:p w14:paraId="4877458A" w14:textId="4C868DC6" w:rsidR="002B26B0" w:rsidRPr="00245C51" w:rsidRDefault="00897833" w:rsidP="00EA270A">
      <w:pPr>
        <w:spacing w:before="100" w:beforeAutospacing="1" w:after="100" w:afterAutospacing="1" w:line="240" w:lineRule="auto"/>
        <w:rPr>
          <w:rFonts w:eastAsia="Times New Roman" w:cs="Times New Roman"/>
          <w:kern w:val="0"/>
          <w:lang w:eastAsia="en-GB"/>
          <w14:ligatures w14:val="none"/>
        </w:rPr>
      </w:pPr>
      <w:r w:rsidRPr="002B26B0">
        <w:rPr>
          <w:rFonts w:eastAsia="Times New Roman" w:cs="Times New Roman"/>
          <w:kern w:val="0"/>
          <w:lang w:eastAsia="en-GB"/>
          <w14:ligatures w14:val="none"/>
        </w:rPr>
        <w:t xml:space="preserve">The South Staffordshire Publication Plan </w:t>
      </w:r>
      <w:proofErr w:type="gramStart"/>
      <w:r w:rsidR="00EA270A" w:rsidRPr="00AD716D">
        <w:rPr>
          <w:rFonts w:eastAsia="Times New Roman" w:cs="Times New Roman"/>
          <w:b/>
          <w:bCs/>
          <w:kern w:val="0"/>
          <w:lang w:eastAsia="en-GB"/>
          <w14:ligatures w14:val="none"/>
        </w:rPr>
        <w:t>reached</w:t>
      </w:r>
      <w:proofErr w:type="gramEnd"/>
      <w:r w:rsidRPr="00AD716D">
        <w:rPr>
          <w:rFonts w:eastAsia="Times New Roman" w:cs="Times New Roman"/>
          <w:b/>
          <w:bCs/>
          <w:kern w:val="0"/>
          <w:lang w:eastAsia="en-GB"/>
          <w14:ligatures w14:val="none"/>
        </w:rPr>
        <w:t xml:space="preserve"> Regulation 19 in April 2024</w:t>
      </w:r>
      <w:r w:rsidRPr="00897833">
        <w:rPr>
          <w:rFonts w:eastAsia="Times New Roman" w:cs="Times New Roman"/>
          <w:kern w:val="0"/>
          <w:lang w:eastAsia="en-GB"/>
          <w14:ligatures w14:val="none"/>
        </w:rPr>
        <w:t xml:space="preserve">, and therefore clearly falls within the transitional arrangements. It is appropriate that the plan continues to progress through examination accordingly. While we appreciate that the examination process is still ongoing and that some evidence may require reassessment, this </w:t>
      </w:r>
      <w:r w:rsidRPr="00897833">
        <w:rPr>
          <w:rFonts w:eastAsia="Times New Roman" w:cs="Times New Roman"/>
          <w:i/>
          <w:iCs/>
          <w:kern w:val="0"/>
          <w:lang w:eastAsia="en-GB"/>
          <w14:ligatures w14:val="none"/>
        </w:rPr>
        <w:t xml:space="preserve">does not </w:t>
      </w:r>
      <w:r w:rsidR="00F84C06">
        <w:rPr>
          <w:rFonts w:eastAsia="Times New Roman" w:cs="Times New Roman"/>
          <w:i/>
          <w:iCs/>
          <w:kern w:val="0"/>
          <w:lang w:eastAsia="en-GB"/>
          <w14:ligatures w14:val="none"/>
        </w:rPr>
        <w:t>justify</w:t>
      </w:r>
      <w:r w:rsidRPr="00897833">
        <w:rPr>
          <w:rFonts w:eastAsia="Times New Roman" w:cs="Times New Roman"/>
          <w:kern w:val="0"/>
          <w:lang w:eastAsia="en-GB"/>
          <w14:ligatures w14:val="none"/>
        </w:rPr>
        <w:t xml:space="preserve"> permitting </w:t>
      </w:r>
      <w:r w:rsidR="00F84C06">
        <w:rPr>
          <w:rFonts w:eastAsia="Times New Roman" w:cs="Times New Roman"/>
          <w:kern w:val="0"/>
          <w:lang w:eastAsia="en-GB"/>
          <w14:ligatures w14:val="none"/>
        </w:rPr>
        <w:t>significant</w:t>
      </w:r>
      <w:r w:rsidRPr="00897833">
        <w:rPr>
          <w:rFonts w:eastAsia="Times New Roman" w:cs="Times New Roman"/>
          <w:kern w:val="0"/>
          <w:lang w:eastAsia="en-GB"/>
          <w14:ligatures w14:val="none"/>
        </w:rPr>
        <w:t xml:space="preserve"> inappropriate development in the Green Belt during the interim period.</w:t>
      </w:r>
    </w:p>
    <w:p w14:paraId="28880793" w14:textId="170E0895" w:rsidR="00897833" w:rsidRPr="00D6117A" w:rsidRDefault="00897833" w:rsidP="00D6117A">
      <w:pPr>
        <w:pStyle w:val="ListParagraph"/>
        <w:numPr>
          <w:ilvl w:val="0"/>
          <w:numId w:val="7"/>
        </w:numPr>
        <w:spacing w:before="100" w:beforeAutospacing="1" w:after="100" w:afterAutospacing="1" w:line="240" w:lineRule="auto"/>
        <w:rPr>
          <w:rFonts w:eastAsia="Times New Roman" w:cs="Times New Roman"/>
          <w:kern w:val="0"/>
          <w:lang w:eastAsia="en-GB"/>
          <w14:ligatures w14:val="none"/>
        </w:rPr>
      </w:pPr>
      <w:r w:rsidRPr="00D6117A">
        <w:rPr>
          <w:rFonts w:eastAsia="Times New Roman" w:cs="Times New Roman"/>
          <w:b/>
          <w:bCs/>
          <w:kern w:val="0"/>
          <w:lang w:eastAsia="en-GB"/>
          <w14:ligatures w14:val="none"/>
        </w:rPr>
        <w:t xml:space="preserve">Green Belt </w:t>
      </w:r>
    </w:p>
    <w:p w14:paraId="2713AA46" w14:textId="77777777" w:rsidR="00D6117A" w:rsidRDefault="00897833" w:rsidP="00CB2214">
      <w:pPr>
        <w:spacing w:before="100" w:beforeAutospacing="1" w:after="100" w:afterAutospacing="1" w:line="240" w:lineRule="auto"/>
        <w:rPr>
          <w:rFonts w:eastAsia="Times New Roman" w:cs="Times New Roman"/>
          <w:kern w:val="0"/>
          <w:lang w:eastAsia="en-GB"/>
          <w14:ligatures w14:val="none"/>
        </w:rPr>
      </w:pPr>
      <w:r w:rsidRPr="00897833">
        <w:rPr>
          <w:rFonts w:eastAsia="Times New Roman" w:cs="Times New Roman"/>
          <w:kern w:val="0"/>
          <w:lang w:eastAsia="en-GB"/>
          <w14:ligatures w14:val="none"/>
        </w:rPr>
        <w:t xml:space="preserve">The application site lies within </w:t>
      </w:r>
      <w:r w:rsidR="002677C0">
        <w:rPr>
          <w:rFonts w:eastAsia="Times New Roman" w:cs="Times New Roman"/>
          <w:kern w:val="0"/>
          <w:lang w:eastAsia="en-GB"/>
          <w14:ligatures w14:val="none"/>
        </w:rPr>
        <w:t xml:space="preserve">a </w:t>
      </w:r>
      <w:r w:rsidRPr="00897833">
        <w:rPr>
          <w:rFonts w:eastAsia="Times New Roman" w:cs="Times New Roman"/>
          <w:kern w:val="0"/>
          <w:lang w:eastAsia="en-GB"/>
          <w14:ligatures w14:val="none"/>
        </w:rPr>
        <w:t xml:space="preserve">designated Green Belt, and no compelling </w:t>
      </w:r>
      <w:r w:rsidR="00AD716D">
        <w:rPr>
          <w:rFonts w:eastAsia="Times New Roman" w:cs="Times New Roman"/>
          <w:kern w:val="0"/>
          <w:lang w:eastAsia="en-GB"/>
          <w14:ligatures w14:val="none"/>
        </w:rPr>
        <w:t>‘v</w:t>
      </w:r>
      <w:r w:rsidRPr="002677C0">
        <w:rPr>
          <w:rFonts w:eastAsia="Times New Roman" w:cs="Times New Roman"/>
          <w:kern w:val="0"/>
          <w:lang w:eastAsia="en-GB"/>
          <w14:ligatures w14:val="none"/>
        </w:rPr>
        <w:t xml:space="preserve">ery </w:t>
      </w:r>
      <w:r w:rsidR="00AD716D">
        <w:rPr>
          <w:rFonts w:eastAsia="Times New Roman" w:cs="Times New Roman"/>
          <w:kern w:val="0"/>
          <w:lang w:eastAsia="en-GB"/>
          <w14:ligatures w14:val="none"/>
        </w:rPr>
        <w:t>s</w:t>
      </w:r>
      <w:r w:rsidRPr="002677C0">
        <w:rPr>
          <w:rFonts w:eastAsia="Times New Roman" w:cs="Times New Roman"/>
          <w:kern w:val="0"/>
          <w:lang w:eastAsia="en-GB"/>
          <w14:ligatures w14:val="none"/>
        </w:rPr>
        <w:t xml:space="preserve">pecial </w:t>
      </w:r>
      <w:r w:rsidR="00AD716D">
        <w:rPr>
          <w:rFonts w:eastAsia="Times New Roman" w:cs="Times New Roman"/>
          <w:kern w:val="0"/>
          <w:lang w:eastAsia="en-GB"/>
          <w14:ligatures w14:val="none"/>
        </w:rPr>
        <w:t>c</w:t>
      </w:r>
      <w:r w:rsidRPr="002677C0">
        <w:rPr>
          <w:rFonts w:eastAsia="Times New Roman" w:cs="Times New Roman"/>
          <w:kern w:val="0"/>
          <w:lang w:eastAsia="en-GB"/>
          <w14:ligatures w14:val="none"/>
        </w:rPr>
        <w:t>ircumstances</w:t>
      </w:r>
      <w:r w:rsidR="00AD716D">
        <w:rPr>
          <w:rFonts w:eastAsia="Times New Roman" w:cs="Times New Roman"/>
          <w:kern w:val="0"/>
          <w:lang w:eastAsia="en-GB"/>
          <w14:ligatures w14:val="none"/>
        </w:rPr>
        <w:t>’</w:t>
      </w:r>
      <w:r w:rsidRPr="00897833">
        <w:rPr>
          <w:rFonts w:eastAsia="Times New Roman" w:cs="Times New Roman"/>
          <w:kern w:val="0"/>
          <w:lang w:eastAsia="en-GB"/>
          <w14:ligatures w14:val="none"/>
        </w:rPr>
        <w:t xml:space="preserve"> have been demonstrated that would outweigh the harm caused </w:t>
      </w:r>
      <w:proofErr w:type="gramStart"/>
      <w:r w:rsidRPr="00897833">
        <w:rPr>
          <w:rFonts w:eastAsia="Times New Roman" w:cs="Times New Roman"/>
          <w:kern w:val="0"/>
          <w:lang w:eastAsia="en-GB"/>
          <w14:ligatures w14:val="none"/>
        </w:rPr>
        <w:t>by:</w:t>
      </w:r>
      <w:proofErr w:type="gramEnd"/>
      <w:r w:rsidR="005106F0">
        <w:rPr>
          <w:rFonts w:eastAsia="Times New Roman" w:cs="Times New Roman"/>
          <w:kern w:val="0"/>
          <w:lang w:eastAsia="en-GB"/>
          <w14:ligatures w14:val="none"/>
        </w:rPr>
        <w:t xml:space="preserve"> l</w:t>
      </w:r>
      <w:r w:rsidRPr="00897833">
        <w:rPr>
          <w:rFonts w:eastAsia="Times New Roman" w:cs="Times New Roman"/>
          <w:kern w:val="0"/>
          <w:lang w:eastAsia="en-GB"/>
          <w14:ligatures w14:val="none"/>
        </w:rPr>
        <w:t>oss of openness</w:t>
      </w:r>
      <w:r w:rsidR="005106F0">
        <w:rPr>
          <w:rFonts w:eastAsia="Times New Roman" w:cs="Times New Roman"/>
          <w:kern w:val="0"/>
          <w:lang w:eastAsia="en-GB"/>
          <w14:ligatures w14:val="none"/>
        </w:rPr>
        <w:t>, e</w:t>
      </w:r>
      <w:r w:rsidRPr="00897833">
        <w:rPr>
          <w:rFonts w:eastAsia="Times New Roman" w:cs="Times New Roman"/>
          <w:kern w:val="0"/>
          <w:lang w:eastAsia="en-GB"/>
          <w14:ligatures w14:val="none"/>
        </w:rPr>
        <w:t>ncroachment into the countryside</w:t>
      </w:r>
      <w:r w:rsidR="005106F0">
        <w:rPr>
          <w:rFonts w:eastAsia="Times New Roman" w:cs="Times New Roman"/>
          <w:kern w:val="0"/>
          <w:lang w:eastAsia="en-GB"/>
          <w14:ligatures w14:val="none"/>
        </w:rPr>
        <w:t>, c</w:t>
      </w:r>
      <w:r w:rsidRPr="00897833">
        <w:rPr>
          <w:rFonts w:eastAsia="Times New Roman" w:cs="Times New Roman"/>
          <w:kern w:val="0"/>
          <w:lang w:eastAsia="en-GB"/>
          <w14:ligatures w14:val="none"/>
        </w:rPr>
        <w:t>onflict with the purposes of including land within the Green Belt</w:t>
      </w:r>
      <w:r w:rsidR="005106F0">
        <w:rPr>
          <w:rFonts w:eastAsia="Times New Roman" w:cs="Times New Roman"/>
          <w:kern w:val="0"/>
          <w:lang w:eastAsia="en-GB"/>
          <w14:ligatures w14:val="none"/>
        </w:rPr>
        <w:t>.</w:t>
      </w:r>
    </w:p>
    <w:p w14:paraId="6DD692A1" w14:textId="49779BB6" w:rsidR="00D6117A" w:rsidRDefault="00B14978" w:rsidP="00D6117A">
      <w:pPr>
        <w:pStyle w:val="ListParagraph"/>
        <w:numPr>
          <w:ilvl w:val="0"/>
          <w:numId w:val="7"/>
        </w:numPr>
        <w:spacing w:before="100" w:beforeAutospacing="1" w:after="100" w:afterAutospacing="1" w:line="240" w:lineRule="auto"/>
        <w:rPr>
          <w:rFonts w:eastAsia="Times New Roman" w:cs="Times New Roman"/>
          <w:kern w:val="0"/>
          <w:lang w:eastAsia="en-GB"/>
          <w14:ligatures w14:val="none"/>
        </w:rPr>
      </w:pPr>
      <w:r w:rsidRPr="00B14978">
        <w:rPr>
          <w:rFonts w:eastAsia="Times New Roman" w:cs="Times New Roman"/>
          <w:b/>
          <w:bCs/>
          <w:kern w:val="0"/>
          <w:lang w:eastAsia="en-GB"/>
          <w14:ligatures w14:val="none"/>
        </w:rPr>
        <w:t xml:space="preserve">Policy NB8: </w:t>
      </w:r>
      <w:r w:rsidRPr="00092CE3">
        <w:rPr>
          <w:rFonts w:eastAsia="Times New Roman" w:cs="Times New Roman"/>
          <w:b/>
          <w:bCs/>
          <w:kern w:val="0"/>
          <w:lang w:eastAsia="en-GB"/>
          <w14:ligatures w14:val="none"/>
        </w:rPr>
        <w:t>Protection and enhancement of the historic environment and heritage assets</w:t>
      </w:r>
      <w:r w:rsidRPr="00092CE3">
        <w:rPr>
          <w:rFonts w:eastAsia="Times New Roman" w:cs="Times New Roman"/>
          <w:kern w:val="0"/>
          <w:lang w:eastAsia="en-GB"/>
          <w14:ligatures w14:val="none"/>
        </w:rPr>
        <w:t xml:space="preserve"> </w:t>
      </w:r>
      <w:r w:rsidR="00092CE3">
        <w:rPr>
          <w:rFonts w:eastAsia="Times New Roman" w:cs="Times New Roman"/>
          <w:kern w:val="0"/>
          <w:lang w:eastAsia="en-GB"/>
          <w14:ligatures w14:val="none"/>
        </w:rPr>
        <w:t>of the</w:t>
      </w:r>
      <w:r w:rsidR="005A3DBF">
        <w:rPr>
          <w:rFonts w:eastAsia="Times New Roman" w:cs="Times New Roman"/>
          <w:kern w:val="0"/>
          <w:lang w:eastAsia="en-GB"/>
          <w14:ligatures w14:val="none"/>
        </w:rPr>
        <w:t xml:space="preserve"> emerging Local Plan</w:t>
      </w:r>
      <w:r w:rsidR="00092CE3">
        <w:rPr>
          <w:rFonts w:eastAsia="Times New Roman" w:cs="Times New Roman"/>
          <w:kern w:val="0"/>
          <w:lang w:eastAsia="en-GB"/>
          <w14:ligatures w14:val="none"/>
        </w:rPr>
        <w:t xml:space="preserve"> </w:t>
      </w:r>
      <w:r w:rsidR="005A3DBF">
        <w:rPr>
          <w:rFonts w:eastAsia="Times New Roman" w:cs="Times New Roman"/>
          <w:kern w:val="0"/>
          <w:lang w:eastAsia="en-GB"/>
          <w14:ligatures w14:val="none"/>
        </w:rPr>
        <w:t>(</w:t>
      </w:r>
      <w:r w:rsidR="00092CE3">
        <w:rPr>
          <w:rFonts w:eastAsia="Times New Roman" w:cs="Times New Roman"/>
          <w:kern w:val="0"/>
          <w:lang w:eastAsia="en-GB"/>
          <w14:ligatures w14:val="none"/>
        </w:rPr>
        <w:t>Publication Plan</w:t>
      </w:r>
      <w:r w:rsidR="005A3DBF">
        <w:rPr>
          <w:rFonts w:eastAsia="Times New Roman" w:cs="Times New Roman"/>
          <w:kern w:val="0"/>
          <w:lang w:eastAsia="en-GB"/>
          <w14:ligatures w14:val="none"/>
        </w:rPr>
        <w:t>)</w:t>
      </w:r>
      <w:r w:rsidR="00092CE3">
        <w:rPr>
          <w:rFonts w:eastAsia="Times New Roman" w:cs="Times New Roman"/>
          <w:b/>
          <w:bCs/>
          <w:kern w:val="0"/>
          <w:lang w:eastAsia="en-GB"/>
          <w14:ligatures w14:val="none"/>
        </w:rPr>
        <w:t xml:space="preserve"> </w:t>
      </w:r>
      <w:r w:rsidR="00092CE3" w:rsidRPr="00092CE3">
        <w:rPr>
          <w:rFonts w:eastAsia="Times New Roman" w:cs="Times New Roman"/>
          <w:kern w:val="0"/>
          <w:lang w:eastAsia="en-GB"/>
          <w14:ligatures w14:val="none"/>
        </w:rPr>
        <w:t xml:space="preserve">states: </w:t>
      </w:r>
    </w:p>
    <w:p w14:paraId="0F7CD5C1" w14:textId="77777777" w:rsidR="005A3DBF" w:rsidRPr="00092CE3" w:rsidRDefault="005A3DBF" w:rsidP="005A3DBF">
      <w:pPr>
        <w:pStyle w:val="ListParagraph"/>
        <w:spacing w:before="100" w:beforeAutospacing="1" w:after="100" w:afterAutospacing="1" w:line="240" w:lineRule="auto"/>
        <w:rPr>
          <w:rFonts w:eastAsia="Times New Roman" w:cs="Times New Roman"/>
          <w:kern w:val="0"/>
          <w:lang w:eastAsia="en-GB"/>
          <w14:ligatures w14:val="none"/>
        </w:rPr>
      </w:pPr>
    </w:p>
    <w:p w14:paraId="32F201AA" w14:textId="36E17009" w:rsidR="00B14978" w:rsidRDefault="004C12D4" w:rsidP="00B14978">
      <w:pPr>
        <w:pStyle w:val="ListParagraph"/>
        <w:spacing w:before="100" w:beforeAutospacing="1" w:after="100" w:afterAutospacing="1" w:line="240" w:lineRule="auto"/>
        <w:rPr>
          <w:rFonts w:eastAsia="Times New Roman" w:cs="Times New Roman"/>
          <w:i/>
          <w:iCs/>
          <w:kern w:val="0"/>
          <w:lang w:eastAsia="en-GB"/>
          <w14:ligatures w14:val="none"/>
        </w:rPr>
      </w:pPr>
      <w:r>
        <w:rPr>
          <w:rFonts w:eastAsia="Times New Roman" w:cs="Times New Roman"/>
          <w:i/>
          <w:iCs/>
          <w:kern w:val="0"/>
          <w:lang w:eastAsia="en-GB"/>
          <w14:ligatures w14:val="none"/>
        </w:rPr>
        <w:t>“</w:t>
      </w:r>
      <w:r w:rsidRPr="004C12D4">
        <w:rPr>
          <w:rFonts w:eastAsia="Times New Roman" w:cs="Times New Roman"/>
          <w:i/>
          <w:iCs/>
          <w:kern w:val="0"/>
          <w:lang w:eastAsia="en-GB"/>
          <w14:ligatures w14:val="none"/>
        </w:rPr>
        <w:t xml:space="preserve">The historic environment will be conserved and enhanced, and heritage assets will be protected in a manner appropriate to their significance.  Development proposals should demonstrate how they conserve or enhance the character, appearance and </w:t>
      </w:r>
      <w:r w:rsidR="00476B72" w:rsidRPr="00476B72">
        <w:rPr>
          <w:rFonts w:eastAsia="Times New Roman" w:cs="Times New Roman"/>
          <w:i/>
          <w:iCs/>
          <w:kern w:val="0"/>
          <w:lang w:eastAsia="en-GB"/>
          <w14:ligatures w14:val="none"/>
        </w:rPr>
        <w:t xml:space="preserve">function of heritage assets and their settings and respect the significance of the historic environment.   Development proposals should seek to avoid and then minimise harm to heritage assets in the first instance. </w:t>
      </w:r>
      <w:r w:rsidR="00476B72" w:rsidRPr="00476B72">
        <w:rPr>
          <w:rFonts w:eastAsia="Times New Roman" w:cs="Times New Roman"/>
          <w:i/>
          <w:iCs/>
          <w:kern w:val="0"/>
          <w:lang w:eastAsia="en-GB"/>
          <w14:ligatures w14:val="none"/>
        </w:rPr>
        <w:lastRenderedPageBreak/>
        <w:t xml:space="preserve">Development proposals which would cause harm to the significance of a heritage asset, or its setting, will not be permitted without a clear justification in accordance with legislation and national policy.   Proposals which could impact on the significance of a heritage asset, including its setting, should be accompanied by a heritage statement which is proportionate to the importance of the asset and its setting.  Where there is the potential for areas of archaeological interest to be affected, an archaeological assessment should be prepared by a suitably qualified professional and informed by available evidence including desk-based assessments and where appropriate field evaluation to establish the significance of known or potential heritage assets.    The loss of heritage assets will be resisted. Where this is not possible, development consent which would result in the loss of all, or part of, the significance of a heritage asset, a historic building record and/or archaeological excavation will be required. Results should be published and made publicly available and added onto the Historic Environment Record.  The council will support measures which secure the improved maintenance, management and sustainable reuse of heritage assets (where appropriate), particularly those which are identified nationally or locally as being at risk.   Development proposals should be consistent with other Local Plan policies. </w:t>
      </w:r>
    </w:p>
    <w:p w14:paraId="6E71FAAD" w14:textId="77777777" w:rsidR="00A16583" w:rsidRDefault="00A16583" w:rsidP="00B14978">
      <w:pPr>
        <w:pStyle w:val="ListParagraph"/>
        <w:spacing w:before="100" w:beforeAutospacing="1" w:after="100" w:afterAutospacing="1" w:line="240" w:lineRule="auto"/>
        <w:rPr>
          <w:rFonts w:eastAsia="Times New Roman" w:cs="Times New Roman"/>
          <w:i/>
          <w:iCs/>
          <w:kern w:val="0"/>
          <w:lang w:eastAsia="en-GB"/>
          <w14:ligatures w14:val="none"/>
        </w:rPr>
      </w:pPr>
    </w:p>
    <w:p w14:paraId="4BADA25D" w14:textId="5E53A7F5" w:rsidR="005A3DBF" w:rsidRPr="005A3DBF" w:rsidRDefault="00A16583" w:rsidP="005A3DBF">
      <w:pPr>
        <w:pStyle w:val="ListParagraph"/>
        <w:spacing w:before="100" w:beforeAutospacing="1" w:after="100" w:afterAutospacing="1" w:line="240" w:lineRule="auto"/>
        <w:ind w:left="0"/>
        <w:rPr>
          <w:rFonts w:eastAsia="Times New Roman" w:cs="Times New Roman"/>
          <w:kern w:val="0"/>
          <w:lang w:eastAsia="en-GB"/>
          <w14:ligatures w14:val="none"/>
        </w:rPr>
      </w:pPr>
      <w:proofErr w:type="gramStart"/>
      <w:r w:rsidRPr="00A16583">
        <w:rPr>
          <w:rFonts w:eastAsia="Times New Roman" w:cs="Times New Roman"/>
          <w:kern w:val="0"/>
          <w:lang w:eastAsia="en-GB"/>
          <w14:ligatures w14:val="none"/>
        </w:rPr>
        <w:t>In light of</w:t>
      </w:r>
      <w:proofErr w:type="gramEnd"/>
      <w:r w:rsidRPr="00A16583">
        <w:rPr>
          <w:rFonts w:eastAsia="Times New Roman" w:cs="Times New Roman"/>
          <w:kern w:val="0"/>
          <w:lang w:eastAsia="en-GB"/>
          <w14:ligatures w14:val="none"/>
        </w:rPr>
        <w:t xml:space="preserve"> Policy NB8 and given the significant scale of the proposal</w:t>
      </w:r>
      <w:r>
        <w:rPr>
          <w:rFonts w:eastAsia="Times New Roman" w:cs="Times New Roman"/>
          <w:kern w:val="0"/>
          <w:lang w:eastAsia="en-GB"/>
          <w14:ligatures w14:val="none"/>
        </w:rPr>
        <w:t xml:space="preserve">, the </w:t>
      </w:r>
      <w:r w:rsidRPr="00A16583">
        <w:rPr>
          <w:rFonts w:eastAsia="Times New Roman" w:cs="Times New Roman"/>
          <w:kern w:val="0"/>
          <w:lang w:eastAsia="en-GB"/>
          <w14:ligatures w14:val="none"/>
        </w:rPr>
        <w:t>development in direct proximity to a designated Conservation Area is highly likely to cause irrevocable harm to the asset's setting and its historic and rural character.</w:t>
      </w:r>
    </w:p>
    <w:p w14:paraId="27E9CA5B" w14:textId="5DDDF52D" w:rsidR="00897833" w:rsidRPr="00CB2214" w:rsidRDefault="00897833" w:rsidP="00CB2214">
      <w:pPr>
        <w:spacing w:before="100" w:beforeAutospacing="1" w:after="100" w:afterAutospacing="1" w:line="240" w:lineRule="auto"/>
        <w:rPr>
          <w:rFonts w:eastAsia="Times New Roman" w:cs="Times New Roman"/>
          <w:kern w:val="0"/>
          <w:lang w:eastAsia="en-GB"/>
          <w14:ligatures w14:val="none"/>
        </w:rPr>
      </w:pPr>
      <w:r w:rsidRPr="00897833">
        <w:rPr>
          <w:rFonts w:eastAsia="Times New Roman" w:cs="Times New Roman"/>
          <w:b/>
          <w:bCs/>
          <w:kern w:val="0"/>
          <w:sz w:val="27"/>
          <w:szCs w:val="27"/>
          <w:lang w:eastAsia="en-GB"/>
          <w14:ligatures w14:val="none"/>
        </w:rPr>
        <w:t xml:space="preserve">Infrastructure </w:t>
      </w:r>
      <w:r w:rsidR="000E0A18">
        <w:rPr>
          <w:rFonts w:eastAsia="Times New Roman" w:cs="Times New Roman"/>
          <w:b/>
          <w:bCs/>
          <w:kern w:val="0"/>
          <w:sz w:val="27"/>
          <w:szCs w:val="27"/>
          <w:lang w:eastAsia="en-GB"/>
          <w14:ligatures w14:val="none"/>
        </w:rPr>
        <w:t>c</w:t>
      </w:r>
      <w:r w:rsidRPr="00897833">
        <w:rPr>
          <w:rFonts w:eastAsia="Times New Roman" w:cs="Times New Roman"/>
          <w:b/>
          <w:bCs/>
          <w:kern w:val="0"/>
          <w:sz w:val="27"/>
          <w:szCs w:val="27"/>
          <w:lang w:eastAsia="en-GB"/>
          <w14:ligatures w14:val="none"/>
        </w:rPr>
        <w:t xml:space="preserve">apacity and </w:t>
      </w:r>
      <w:r w:rsidR="000E0A18">
        <w:rPr>
          <w:rFonts w:eastAsia="Times New Roman" w:cs="Times New Roman"/>
          <w:b/>
          <w:bCs/>
          <w:kern w:val="0"/>
          <w:sz w:val="27"/>
          <w:szCs w:val="27"/>
          <w:lang w:eastAsia="en-GB"/>
          <w14:ligatures w14:val="none"/>
        </w:rPr>
        <w:t>c</w:t>
      </w:r>
      <w:r w:rsidRPr="00897833">
        <w:rPr>
          <w:rFonts w:eastAsia="Times New Roman" w:cs="Times New Roman"/>
          <w:b/>
          <w:bCs/>
          <w:kern w:val="0"/>
          <w:sz w:val="27"/>
          <w:szCs w:val="27"/>
          <w:lang w:eastAsia="en-GB"/>
          <w14:ligatures w14:val="none"/>
        </w:rPr>
        <w:t>umulative</w:t>
      </w:r>
      <w:r w:rsidR="000E0A18">
        <w:rPr>
          <w:rFonts w:eastAsia="Times New Roman" w:cs="Times New Roman"/>
          <w:b/>
          <w:bCs/>
          <w:kern w:val="0"/>
          <w:sz w:val="27"/>
          <w:szCs w:val="27"/>
          <w:lang w:eastAsia="en-GB"/>
          <w14:ligatures w14:val="none"/>
        </w:rPr>
        <w:t xml:space="preserve"> i</w:t>
      </w:r>
      <w:r w:rsidRPr="00897833">
        <w:rPr>
          <w:rFonts w:eastAsia="Times New Roman" w:cs="Times New Roman"/>
          <w:b/>
          <w:bCs/>
          <w:kern w:val="0"/>
          <w:sz w:val="27"/>
          <w:szCs w:val="27"/>
          <w:lang w:eastAsia="en-GB"/>
          <w14:ligatures w14:val="none"/>
        </w:rPr>
        <w:t>mpact</w:t>
      </w:r>
    </w:p>
    <w:p w14:paraId="349F32F1" w14:textId="77777777" w:rsidR="00B752D1" w:rsidRDefault="00897833" w:rsidP="00B752D1">
      <w:pPr>
        <w:spacing w:before="100" w:beforeAutospacing="1" w:after="100" w:afterAutospacing="1" w:line="240" w:lineRule="auto"/>
        <w:rPr>
          <w:rFonts w:eastAsia="Times New Roman" w:cs="Times New Roman"/>
          <w:kern w:val="0"/>
          <w:lang w:eastAsia="en-GB"/>
          <w14:ligatures w14:val="none"/>
        </w:rPr>
      </w:pPr>
      <w:r w:rsidRPr="00897833">
        <w:rPr>
          <w:rFonts w:eastAsia="Times New Roman" w:cs="Times New Roman"/>
          <w:kern w:val="0"/>
          <w:lang w:eastAsia="en-GB"/>
          <w14:ligatures w14:val="none"/>
        </w:rPr>
        <w:t xml:space="preserve">A development of the magnitude proposed would place </w:t>
      </w:r>
      <w:r w:rsidRPr="00861D0C">
        <w:rPr>
          <w:rFonts w:eastAsia="Times New Roman" w:cs="Times New Roman"/>
          <w:kern w:val="0"/>
          <w:lang w:eastAsia="en-GB"/>
          <w14:ligatures w14:val="none"/>
        </w:rPr>
        <w:t>significant pressure on local infrastructure</w:t>
      </w:r>
      <w:r w:rsidRPr="00897833">
        <w:rPr>
          <w:rFonts w:eastAsia="Times New Roman" w:cs="Times New Roman"/>
          <w:kern w:val="0"/>
          <w:lang w:eastAsia="en-GB"/>
          <w14:ligatures w14:val="none"/>
        </w:rPr>
        <w:t>, including</w:t>
      </w:r>
      <w:r w:rsidR="008846F1">
        <w:rPr>
          <w:rFonts w:eastAsia="Times New Roman" w:cs="Times New Roman"/>
          <w:kern w:val="0"/>
          <w:lang w:eastAsia="en-GB"/>
          <w14:ligatures w14:val="none"/>
        </w:rPr>
        <w:t xml:space="preserve"> h</w:t>
      </w:r>
      <w:r w:rsidR="008846F1" w:rsidRPr="008846F1">
        <w:rPr>
          <w:rFonts w:eastAsia="Times New Roman" w:cs="Times New Roman"/>
          <w:kern w:val="0"/>
          <w:lang w:eastAsia="en-GB"/>
          <w14:ligatures w14:val="none"/>
        </w:rPr>
        <w:t>ighway capacity</w:t>
      </w:r>
      <w:r w:rsidR="008846F1">
        <w:rPr>
          <w:rFonts w:eastAsia="Times New Roman" w:cs="Times New Roman"/>
          <w:kern w:val="0"/>
          <w:lang w:eastAsia="en-GB"/>
          <w14:ligatures w14:val="none"/>
        </w:rPr>
        <w:t>, p</w:t>
      </w:r>
      <w:r w:rsidR="008846F1" w:rsidRPr="008846F1">
        <w:rPr>
          <w:rFonts w:eastAsia="Times New Roman" w:cs="Times New Roman"/>
          <w:kern w:val="0"/>
          <w:lang w:eastAsia="en-GB"/>
          <w14:ligatures w14:val="none"/>
        </w:rPr>
        <w:t>ublic transport</w:t>
      </w:r>
      <w:r w:rsidR="008846F1">
        <w:rPr>
          <w:rFonts w:eastAsia="Times New Roman" w:cs="Times New Roman"/>
          <w:kern w:val="0"/>
          <w:lang w:eastAsia="en-GB"/>
          <w14:ligatures w14:val="none"/>
        </w:rPr>
        <w:t>, h</w:t>
      </w:r>
      <w:r w:rsidR="008846F1" w:rsidRPr="008846F1">
        <w:rPr>
          <w:rFonts w:eastAsia="Times New Roman" w:cs="Times New Roman"/>
          <w:kern w:val="0"/>
          <w:lang w:eastAsia="en-GB"/>
          <w14:ligatures w14:val="none"/>
        </w:rPr>
        <w:t>ealthcare provision</w:t>
      </w:r>
      <w:r w:rsidR="008846F1">
        <w:rPr>
          <w:rFonts w:eastAsia="Times New Roman" w:cs="Times New Roman"/>
          <w:kern w:val="0"/>
          <w:lang w:eastAsia="en-GB"/>
          <w14:ligatures w14:val="none"/>
        </w:rPr>
        <w:t>, e</w:t>
      </w:r>
      <w:r w:rsidR="008846F1" w:rsidRPr="008846F1">
        <w:rPr>
          <w:rFonts w:eastAsia="Times New Roman" w:cs="Times New Roman"/>
          <w:kern w:val="0"/>
          <w:lang w:eastAsia="en-GB"/>
          <w14:ligatures w14:val="none"/>
        </w:rPr>
        <w:t>ducation services</w:t>
      </w:r>
      <w:r w:rsidR="008846F1">
        <w:rPr>
          <w:rFonts w:eastAsia="Times New Roman" w:cs="Times New Roman"/>
          <w:kern w:val="0"/>
          <w:lang w:eastAsia="en-GB"/>
          <w14:ligatures w14:val="none"/>
        </w:rPr>
        <w:t>, u</w:t>
      </w:r>
      <w:r w:rsidR="008846F1" w:rsidRPr="008846F1">
        <w:rPr>
          <w:rFonts w:eastAsia="Times New Roman" w:cs="Times New Roman"/>
          <w:kern w:val="0"/>
          <w:lang w:eastAsia="en-GB"/>
          <w14:ligatures w14:val="none"/>
        </w:rPr>
        <w:t>tilities and drainage systems</w:t>
      </w:r>
      <w:r w:rsidR="008846F1">
        <w:rPr>
          <w:rFonts w:eastAsia="Times New Roman" w:cs="Times New Roman"/>
          <w:kern w:val="0"/>
          <w:lang w:eastAsia="en-GB"/>
          <w14:ligatures w14:val="none"/>
        </w:rPr>
        <w:t xml:space="preserve">. </w:t>
      </w:r>
      <w:r w:rsidRPr="00897833">
        <w:rPr>
          <w:rFonts w:eastAsia="Times New Roman" w:cs="Times New Roman"/>
          <w:kern w:val="0"/>
          <w:lang w:eastAsia="en-GB"/>
          <w14:ligatures w14:val="none"/>
        </w:rPr>
        <w:t>Such cumulative impacts reinforce the inappropriateness of approving substantial growth in an unallocated Green Belt location ahead of the outcome of the Local Plan examination.</w:t>
      </w:r>
    </w:p>
    <w:p w14:paraId="37AA8669" w14:textId="472868C4" w:rsidR="00B752D1" w:rsidRDefault="00897833" w:rsidP="00B752D1">
      <w:pPr>
        <w:spacing w:before="100" w:beforeAutospacing="1" w:after="100" w:afterAutospacing="1" w:line="240" w:lineRule="auto"/>
        <w:rPr>
          <w:rFonts w:eastAsia="Times New Roman" w:cs="Times New Roman"/>
          <w:kern w:val="0"/>
          <w:lang w:eastAsia="en-GB"/>
          <w14:ligatures w14:val="none"/>
        </w:rPr>
      </w:pPr>
      <w:r w:rsidRPr="00897833">
        <w:rPr>
          <w:rFonts w:eastAsia="Times New Roman" w:cs="Times New Roman"/>
          <w:b/>
          <w:bCs/>
          <w:kern w:val="0"/>
          <w:sz w:val="27"/>
          <w:szCs w:val="27"/>
          <w:lang w:eastAsia="en-GB"/>
          <w14:ligatures w14:val="none"/>
        </w:rPr>
        <w:t>Conclusion</w:t>
      </w:r>
    </w:p>
    <w:p w14:paraId="0AE982D3" w14:textId="04516339" w:rsidR="00B752D1" w:rsidRPr="00B752D1" w:rsidRDefault="00AD716D" w:rsidP="00B752D1">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For the reasons above, CPRE Staffordshire urge the council </w:t>
      </w:r>
      <w:r w:rsidR="00D43723">
        <w:rPr>
          <w:rFonts w:eastAsia="Times New Roman" w:cs="Times New Roman"/>
          <w:kern w:val="0"/>
          <w:lang w:eastAsia="en-GB"/>
          <w14:ligatures w14:val="none"/>
        </w:rPr>
        <w:t xml:space="preserve">to defer determination pending the outcome </w:t>
      </w:r>
      <w:r w:rsidR="00AE224B">
        <w:rPr>
          <w:rFonts w:eastAsia="Times New Roman" w:cs="Times New Roman"/>
          <w:kern w:val="0"/>
          <w:lang w:eastAsia="en-GB"/>
          <w14:ligatures w14:val="none"/>
        </w:rPr>
        <w:t xml:space="preserve">of the Local Plan examination. </w:t>
      </w:r>
    </w:p>
    <w:p w14:paraId="1D4A61B5" w14:textId="15CEDAC9" w:rsidR="009D1945" w:rsidRPr="005C3AC1" w:rsidRDefault="00897833" w:rsidP="005C3AC1">
      <w:pPr>
        <w:spacing w:before="100" w:beforeAutospacing="1" w:after="100" w:afterAutospacing="1" w:line="240" w:lineRule="auto"/>
        <w:rPr>
          <w:rFonts w:eastAsia="Times New Roman" w:cs="Times New Roman"/>
          <w:kern w:val="0"/>
          <w:lang w:eastAsia="en-GB"/>
          <w14:ligatures w14:val="none"/>
        </w:rPr>
      </w:pPr>
      <w:r w:rsidRPr="00897833">
        <w:rPr>
          <w:rFonts w:eastAsia="Times New Roman" w:cs="Times New Roman"/>
          <w:kern w:val="0"/>
          <w:lang w:eastAsia="en-GB"/>
          <w14:ligatures w14:val="none"/>
        </w:rPr>
        <w:t>The site remains Green Belt in both the adopted and emerging policy context</w:t>
      </w:r>
      <w:r w:rsidR="004C5C12">
        <w:rPr>
          <w:rFonts w:eastAsia="Times New Roman" w:cs="Times New Roman"/>
          <w:kern w:val="0"/>
          <w:lang w:eastAsia="en-GB"/>
          <w14:ligatures w14:val="none"/>
        </w:rPr>
        <w:t>;</w:t>
      </w:r>
      <w:r w:rsidRPr="00897833">
        <w:rPr>
          <w:rFonts w:eastAsia="Times New Roman" w:cs="Times New Roman"/>
          <w:kern w:val="0"/>
          <w:lang w:eastAsia="en-GB"/>
          <w14:ligatures w14:val="none"/>
        </w:rPr>
        <w:t xml:space="preserve"> no allocation exists to support development here, and the emerging Local Plan is progressing under the transitional arrangements set out in Annexe 1 of the NPPF. Approving </w:t>
      </w:r>
      <w:r w:rsidR="00AE224B">
        <w:rPr>
          <w:rFonts w:eastAsia="Times New Roman" w:cs="Times New Roman"/>
          <w:kern w:val="0"/>
          <w:lang w:eastAsia="en-GB"/>
          <w14:ligatures w14:val="none"/>
        </w:rPr>
        <w:t xml:space="preserve">such a </w:t>
      </w:r>
      <w:r w:rsidR="00DF5991">
        <w:rPr>
          <w:rFonts w:eastAsia="Times New Roman" w:cs="Times New Roman"/>
          <w:kern w:val="0"/>
          <w:lang w:eastAsia="en-GB"/>
          <w14:ligatures w14:val="none"/>
        </w:rPr>
        <w:t>significant</w:t>
      </w:r>
      <w:r w:rsidRPr="00897833">
        <w:rPr>
          <w:rFonts w:eastAsia="Times New Roman" w:cs="Times New Roman"/>
          <w:kern w:val="0"/>
          <w:lang w:eastAsia="en-GB"/>
          <w14:ligatures w14:val="none"/>
        </w:rPr>
        <w:t xml:space="preserve"> development in this location would be premature, harmful, and contrary to the plan-led approach required by national guidance.</w:t>
      </w:r>
    </w:p>
    <w:sectPr w:rsidR="009D1945" w:rsidRPr="005C3A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AD31" w14:textId="77777777" w:rsidR="00033E84" w:rsidRDefault="00033E84" w:rsidP="002B50F6">
      <w:pPr>
        <w:spacing w:after="0" w:line="240" w:lineRule="auto"/>
      </w:pPr>
      <w:r>
        <w:separator/>
      </w:r>
    </w:p>
  </w:endnote>
  <w:endnote w:type="continuationSeparator" w:id="0">
    <w:p w14:paraId="335ACB21" w14:textId="77777777" w:rsidR="00033E84" w:rsidRDefault="00033E84" w:rsidP="002B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F38A" w14:textId="77777777" w:rsidR="00033E84" w:rsidRDefault="00033E84" w:rsidP="002B50F6">
      <w:pPr>
        <w:spacing w:after="0" w:line="240" w:lineRule="auto"/>
      </w:pPr>
      <w:r>
        <w:separator/>
      </w:r>
    </w:p>
  </w:footnote>
  <w:footnote w:type="continuationSeparator" w:id="0">
    <w:p w14:paraId="2B97778E" w14:textId="77777777" w:rsidR="00033E84" w:rsidRDefault="00033E84" w:rsidP="002B5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5F34" w14:textId="2C54F738" w:rsidR="002B50F6" w:rsidRDefault="002B50F6">
    <w:pPr>
      <w:pStyle w:val="Header"/>
    </w:pPr>
    <w:r>
      <w:rPr>
        <w:noProof/>
      </w:rPr>
      <w:drawing>
        <wp:anchor distT="0" distB="0" distL="114300" distR="114300" simplePos="0" relativeHeight="251658240" behindDoc="1" locked="0" layoutInCell="1" allowOverlap="1" wp14:anchorId="529CF715" wp14:editId="575F574F">
          <wp:simplePos x="0" y="0"/>
          <wp:positionH relativeFrom="margin">
            <wp:align>center</wp:align>
          </wp:positionH>
          <wp:positionV relativeFrom="paragraph">
            <wp:posOffset>-343196</wp:posOffset>
          </wp:positionV>
          <wp:extent cx="2653665" cy="814070"/>
          <wp:effectExtent l="0" t="0" r="0" b="5080"/>
          <wp:wrapTight wrapText="bothSides">
            <wp:wrapPolygon edited="0">
              <wp:start x="0" y="0"/>
              <wp:lineTo x="0" y="21229"/>
              <wp:lineTo x="21398" y="21229"/>
              <wp:lineTo x="21398" y="0"/>
              <wp:lineTo x="0" y="0"/>
            </wp:wrapPolygon>
          </wp:wrapTight>
          <wp:docPr id="133528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8828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53665" cy="814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2629"/>
    <w:multiLevelType w:val="multilevel"/>
    <w:tmpl w:val="68064752"/>
    <w:lvl w:ilvl="0">
      <w:start w:val="1"/>
      <w:numFmt w:val="bullet"/>
      <w:lvlText w:val=""/>
      <w:lvlJc w:val="left"/>
      <w:pPr>
        <w:tabs>
          <w:tab w:val="num" w:pos="1003"/>
        </w:tabs>
        <w:ind w:left="1003"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5D22AA1"/>
    <w:multiLevelType w:val="multilevel"/>
    <w:tmpl w:val="3D2A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1645B"/>
    <w:multiLevelType w:val="multilevel"/>
    <w:tmpl w:val="6CEC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82E24"/>
    <w:multiLevelType w:val="hybridMultilevel"/>
    <w:tmpl w:val="19949BA2"/>
    <w:lvl w:ilvl="0" w:tplc="49DC073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BFD49CD"/>
    <w:multiLevelType w:val="hybridMultilevel"/>
    <w:tmpl w:val="17AC8A46"/>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5" w15:restartNumberingAfterBreak="0">
    <w:nsid w:val="78942205"/>
    <w:multiLevelType w:val="hybridMultilevel"/>
    <w:tmpl w:val="8C1486F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78C613D0"/>
    <w:multiLevelType w:val="hybridMultilevel"/>
    <w:tmpl w:val="553E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060115">
    <w:abstractNumId w:val="0"/>
  </w:num>
  <w:num w:numId="2" w16cid:durableId="1997030866">
    <w:abstractNumId w:val="1"/>
  </w:num>
  <w:num w:numId="3" w16cid:durableId="1952004930">
    <w:abstractNumId w:val="2"/>
  </w:num>
  <w:num w:numId="4" w16cid:durableId="1039863212">
    <w:abstractNumId w:val="3"/>
  </w:num>
  <w:num w:numId="5" w16cid:durableId="492526693">
    <w:abstractNumId w:val="4"/>
  </w:num>
  <w:num w:numId="6" w16cid:durableId="654995279">
    <w:abstractNumId w:val="5"/>
  </w:num>
  <w:num w:numId="7" w16cid:durableId="1892841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B1"/>
    <w:rsid w:val="000129F6"/>
    <w:rsid w:val="00033E84"/>
    <w:rsid w:val="00092CE3"/>
    <w:rsid w:val="000E0A18"/>
    <w:rsid w:val="001C33A8"/>
    <w:rsid w:val="00245C51"/>
    <w:rsid w:val="002677C0"/>
    <w:rsid w:val="002A3FDB"/>
    <w:rsid w:val="002B26B0"/>
    <w:rsid w:val="002B50F6"/>
    <w:rsid w:val="00341D9C"/>
    <w:rsid w:val="00364170"/>
    <w:rsid w:val="003C5CA3"/>
    <w:rsid w:val="003C6E3C"/>
    <w:rsid w:val="003F629E"/>
    <w:rsid w:val="00402E13"/>
    <w:rsid w:val="00476B72"/>
    <w:rsid w:val="004C12D4"/>
    <w:rsid w:val="004C1991"/>
    <w:rsid w:val="004C45B6"/>
    <w:rsid w:val="004C5C12"/>
    <w:rsid w:val="005106F0"/>
    <w:rsid w:val="005569F0"/>
    <w:rsid w:val="005A0B7B"/>
    <w:rsid w:val="005A3DBF"/>
    <w:rsid w:val="005A3E18"/>
    <w:rsid w:val="005C3AC1"/>
    <w:rsid w:val="00610C08"/>
    <w:rsid w:val="006179D2"/>
    <w:rsid w:val="00621086"/>
    <w:rsid w:val="00652F35"/>
    <w:rsid w:val="006974C0"/>
    <w:rsid w:val="00747604"/>
    <w:rsid w:val="007A288A"/>
    <w:rsid w:val="007D5370"/>
    <w:rsid w:val="007E5206"/>
    <w:rsid w:val="00811958"/>
    <w:rsid w:val="00861D0C"/>
    <w:rsid w:val="008846F1"/>
    <w:rsid w:val="00897833"/>
    <w:rsid w:val="008B3FB7"/>
    <w:rsid w:val="008E226D"/>
    <w:rsid w:val="009345E3"/>
    <w:rsid w:val="00941967"/>
    <w:rsid w:val="00970B57"/>
    <w:rsid w:val="009A079A"/>
    <w:rsid w:val="009A690C"/>
    <w:rsid w:val="009D1945"/>
    <w:rsid w:val="009D5776"/>
    <w:rsid w:val="009D5ED9"/>
    <w:rsid w:val="00A12590"/>
    <w:rsid w:val="00A12843"/>
    <w:rsid w:val="00A16583"/>
    <w:rsid w:val="00A45B7A"/>
    <w:rsid w:val="00A768B1"/>
    <w:rsid w:val="00A773E8"/>
    <w:rsid w:val="00AC275E"/>
    <w:rsid w:val="00AD716D"/>
    <w:rsid w:val="00AE224B"/>
    <w:rsid w:val="00B14978"/>
    <w:rsid w:val="00B73FD3"/>
    <w:rsid w:val="00B752D1"/>
    <w:rsid w:val="00BA0807"/>
    <w:rsid w:val="00C01753"/>
    <w:rsid w:val="00C46CAC"/>
    <w:rsid w:val="00C73B35"/>
    <w:rsid w:val="00C87121"/>
    <w:rsid w:val="00C90AD0"/>
    <w:rsid w:val="00CB2214"/>
    <w:rsid w:val="00CF46E6"/>
    <w:rsid w:val="00D02112"/>
    <w:rsid w:val="00D43723"/>
    <w:rsid w:val="00D479A2"/>
    <w:rsid w:val="00D6117A"/>
    <w:rsid w:val="00D70E85"/>
    <w:rsid w:val="00D73ACE"/>
    <w:rsid w:val="00DA3747"/>
    <w:rsid w:val="00DB27A7"/>
    <w:rsid w:val="00DB6539"/>
    <w:rsid w:val="00DD0747"/>
    <w:rsid w:val="00DF5991"/>
    <w:rsid w:val="00E6740F"/>
    <w:rsid w:val="00EA1851"/>
    <w:rsid w:val="00EA270A"/>
    <w:rsid w:val="00EE1C4D"/>
    <w:rsid w:val="00F42F8E"/>
    <w:rsid w:val="00F73F83"/>
    <w:rsid w:val="00F74BA1"/>
    <w:rsid w:val="00F84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83C06"/>
  <w15:chartTrackingRefBased/>
  <w15:docId w15:val="{3460E6EF-931C-45D4-8111-F2465150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8B1"/>
    <w:rPr>
      <w:rFonts w:eastAsiaTheme="majorEastAsia" w:cstheme="majorBidi"/>
      <w:color w:val="272727" w:themeColor="text1" w:themeTint="D8"/>
    </w:rPr>
  </w:style>
  <w:style w:type="paragraph" w:styleId="Title">
    <w:name w:val="Title"/>
    <w:basedOn w:val="Normal"/>
    <w:next w:val="Normal"/>
    <w:link w:val="TitleChar"/>
    <w:uiPriority w:val="10"/>
    <w:qFormat/>
    <w:rsid w:val="00A76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8B1"/>
    <w:pPr>
      <w:spacing w:before="160"/>
      <w:jc w:val="center"/>
    </w:pPr>
    <w:rPr>
      <w:i/>
      <w:iCs/>
      <w:color w:val="404040" w:themeColor="text1" w:themeTint="BF"/>
    </w:rPr>
  </w:style>
  <w:style w:type="character" w:customStyle="1" w:styleId="QuoteChar">
    <w:name w:val="Quote Char"/>
    <w:basedOn w:val="DefaultParagraphFont"/>
    <w:link w:val="Quote"/>
    <w:uiPriority w:val="29"/>
    <w:rsid w:val="00A768B1"/>
    <w:rPr>
      <w:i/>
      <w:iCs/>
      <w:color w:val="404040" w:themeColor="text1" w:themeTint="BF"/>
    </w:rPr>
  </w:style>
  <w:style w:type="paragraph" w:styleId="ListParagraph">
    <w:name w:val="List Paragraph"/>
    <w:basedOn w:val="Normal"/>
    <w:uiPriority w:val="34"/>
    <w:qFormat/>
    <w:rsid w:val="00A768B1"/>
    <w:pPr>
      <w:ind w:left="720"/>
      <w:contextualSpacing/>
    </w:pPr>
  </w:style>
  <w:style w:type="character" w:styleId="IntenseEmphasis">
    <w:name w:val="Intense Emphasis"/>
    <w:basedOn w:val="DefaultParagraphFont"/>
    <w:uiPriority w:val="21"/>
    <w:qFormat/>
    <w:rsid w:val="00A768B1"/>
    <w:rPr>
      <w:i/>
      <w:iCs/>
      <w:color w:val="0F4761" w:themeColor="accent1" w:themeShade="BF"/>
    </w:rPr>
  </w:style>
  <w:style w:type="paragraph" w:styleId="IntenseQuote">
    <w:name w:val="Intense Quote"/>
    <w:basedOn w:val="Normal"/>
    <w:next w:val="Normal"/>
    <w:link w:val="IntenseQuoteChar"/>
    <w:uiPriority w:val="30"/>
    <w:qFormat/>
    <w:rsid w:val="00A76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8B1"/>
    <w:rPr>
      <w:i/>
      <w:iCs/>
      <w:color w:val="0F4761" w:themeColor="accent1" w:themeShade="BF"/>
    </w:rPr>
  </w:style>
  <w:style w:type="character" w:styleId="IntenseReference">
    <w:name w:val="Intense Reference"/>
    <w:basedOn w:val="DefaultParagraphFont"/>
    <w:uiPriority w:val="32"/>
    <w:qFormat/>
    <w:rsid w:val="00A768B1"/>
    <w:rPr>
      <w:b/>
      <w:bCs/>
      <w:smallCaps/>
      <w:color w:val="0F4761" w:themeColor="accent1" w:themeShade="BF"/>
      <w:spacing w:val="5"/>
    </w:rPr>
  </w:style>
  <w:style w:type="character" w:customStyle="1" w:styleId="casenumber">
    <w:name w:val="casenumber"/>
    <w:basedOn w:val="DefaultParagraphFont"/>
    <w:rsid w:val="007D5370"/>
  </w:style>
  <w:style w:type="character" w:customStyle="1" w:styleId="divider1">
    <w:name w:val="divider1"/>
    <w:basedOn w:val="DefaultParagraphFont"/>
    <w:rsid w:val="007D5370"/>
  </w:style>
  <w:style w:type="character" w:customStyle="1" w:styleId="description">
    <w:name w:val="description"/>
    <w:basedOn w:val="DefaultParagraphFont"/>
    <w:rsid w:val="007D5370"/>
  </w:style>
  <w:style w:type="character" w:customStyle="1" w:styleId="divider2">
    <w:name w:val="divider2"/>
    <w:basedOn w:val="DefaultParagraphFont"/>
    <w:rsid w:val="007D5370"/>
  </w:style>
  <w:style w:type="character" w:customStyle="1" w:styleId="address">
    <w:name w:val="address"/>
    <w:basedOn w:val="DefaultParagraphFont"/>
    <w:rsid w:val="007D5370"/>
  </w:style>
  <w:style w:type="paragraph" w:styleId="NormalWeb">
    <w:name w:val="Normal (Web)"/>
    <w:basedOn w:val="Normal"/>
    <w:uiPriority w:val="99"/>
    <w:semiHidden/>
    <w:unhideWhenUsed/>
    <w:rsid w:val="00A12843"/>
    <w:rPr>
      <w:rFonts w:ascii="Times New Roman" w:hAnsi="Times New Roman" w:cs="Times New Roman"/>
    </w:rPr>
  </w:style>
  <w:style w:type="character" w:styleId="Hyperlink">
    <w:name w:val="Hyperlink"/>
    <w:basedOn w:val="DefaultParagraphFont"/>
    <w:uiPriority w:val="99"/>
    <w:unhideWhenUsed/>
    <w:rsid w:val="00A12843"/>
    <w:rPr>
      <w:color w:val="467886" w:themeColor="hyperlink"/>
      <w:u w:val="single"/>
    </w:rPr>
  </w:style>
  <w:style w:type="character" w:styleId="UnresolvedMention">
    <w:name w:val="Unresolved Mention"/>
    <w:basedOn w:val="DefaultParagraphFont"/>
    <w:uiPriority w:val="99"/>
    <w:semiHidden/>
    <w:unhideWhenUsed/>
    <w:rsid w:val="00A12843"/>
    <w:rPr>
      <w:color w:val="605E5C"/>
      <w:shd w:val="clear" w:color="auto" w:fill="E1DFDD"/>
    </w:rPr>
  </w:style>
  <w:style w:type="paragraph" w:styleId="Header">
    <w:name w:val="header"/>
    <w:basedOn w:val="Normal"/>
    <w:link w:val="HeaderChar"/>
    <w:uiPriority w:val="99"/>
    <w:unhideWhenUsed/>
    <w:rsid w:val="002B5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0F6"/>
  </w:style>
  <w:style w:type="paragraph" w:styleId="Footer">
    <w:name w:val="footer"/>
    <w:basedOn w:val="Normal"/>
    <w:link w:val="FooterChar"/>
    <w:uiPriority w:val="99"/>
    <w:unhideWhenUsed/>
    <w:rsid w:val="002B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F1371-7F39-4A39-91F9-854C8728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1076</Words>
  <Characters>5994</Characters>
  <Application>Microsoft Office Word</Application>
  <DocSecurity>0</DocSecurity>
  <Lines>110</Lines>
  <Paragraphs>28</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Strekalovskykh</dc:creator>
  <cp:keywords/>
  <dc:description/>
  <cp:lastModifiedBy>Gibbings-Gardner, Aaliyah (EXT)</cp:lastModifiedBy>
  <cp:revision>4</cp:revision>
  <dcterms:created xsi:type="dcterms:W3CDTF">2025-11-17T13:10:00Z</dcterms:created>
  <dcterms:modified xsi:type="dcterms:W3CDTF">2025-11-24T13:34:00Z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d6f21656-550a-4975-9d2c-03df93fb2cb1</vt:lpwstr>
  </property>
</Properties>
</file>